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5E" w:rsidRPr="0099705E" w:rsidRDefault="0099705E" w:rsidP="0099705E">
      <w:pPr>
        <w:shd w:val="clear" w:color="auto" w:fill="FFFFFF"/>
        <w:spacing w:before="100" w:beforeAutospacing="1" w:after="100" w:afterAutospacing="1" w:line="240" w:lineRule="auto"/>
        <w:outlineLvl w:val="0"/>
        <w:rPr>
          <w:rFonts w:ascii="Arial" w:eastAsia="Times New Roman" w:hAnsi="Arial" w:cs="Arial"/>
          <w:color w:val="492365"/>
          <w:kern w:val="36"/>
          <w:sz w:val="48"/>
          <w:szCs w:val="48"/>
        </w:rPr>
      </w:pPr>
      <w:r w:rsidRPr="0099705E">
        <w:rPr>
          <w:rFonts w:ascii="Arial" w:eastAsia="Times New Roman" w:hAnsi="Arial" w:cs="Arial"/>
          <w:color w:val="492365"/>
          <w:kern w:val="36"/>
          <w:sz w:val="48"/>
          <w:szCs w:val="48"/>
        </w:rPr>
        <w:t>Standing Committee</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Purpose</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 xml:space="preserve">The Program Review Standing Committee is a WSU administrative committee, advisory to the </w:t>
      </w:r>
      <w:bookmarkStart w:id="0" w:name="_GoBack"/>
      <w:bookmarkEnd w:id="0"/>
      <w:r w:rsidRPr="0099705E">
        <w:rPr>
          <w:rFonts w:ascii="Times New Roman" w:eastAsia="Times New Roman" w:hAnsi="Times New Roman" w:cs="Times New Roman"/>
          <w:color w:val="575047"/>
          <w:sz w:val="24"/>
          <w:szCs w:val="24"/>
        </w:rPr>
        <w:t>Provost, which provides a division-wide forum to discuss the results of program review. The Committee helps the Provost identify division-wide areas of academic strength and challenge, and assists our programs and faculty in improving the educational experiences of our students.</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Membership</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During the fall of 2011 it was determined that the Faculty Senate Executive committee should fill the role of the Standing Committee. With representation from each college and the Library, this committee spans the institution and serving in this capacity provides consistency of review from year to year. This committee is further augmented by the inclusion of:</w:t>
      </w:r>
    </w:p>
    <w:p w:rsidR="0099705E" w:rsidRPr="0099705E" w:rsidRDefault="0099705E" w:rsidP="0099705E">
      <w:pPr>
        <w:numPr>
          <w:ilvl w:val="0"/>
          <w:numId w:val="1"/>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 xml:space="preserve">the </w:t>
      </w:r>
      <w:proofErr w:type="spellStart"/>
      <w:r w:rsidRPr="0099705E">
        <w:rPr>
          <w:rFonts w:ascii="Times New Roman" w:eastAsia="Times New Roman" w:hAnsi="Times New Roman" w:cs="Times New Roman"/>
          <w:color w:val="575047"/>
          <w:sz w:val="24"/>
          <w:szCs w:val="24"/>
        </w:rPr>
        <w:t>WSUSA</w:t>
      </w:r>
      <w:proofErr w:type="spellEnd"/>
      <w:r w:rsidRPr="0099705E">
        <w:rPr>
          <w:rFonts w:ascii="Times New Roman" w:eastAsia="Times New Roman" w:hAnsi="Times New Roman" w:cs="Times New Roman"/>
          <w:color w:val="575047"/>
          <w:sz w:val="24"/>
          <w:szCs w:val="24"/>
        </w:rPr>
        <w:t xml:space="preserve"> Academic Vice President</w:t>
      </w:r>
    </w:p>
    <w:p w:rsidR="0099705E" w:rsidRPr="0099705E" w:rsidRDefault="0099705E" w:rsidP="0099705E">
      <w:pPr>
        <w:numPr>
          <w:ilvl w:val="0"/>
          <w:numId w:val="1"/>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academic deans of programs currently under review and of programs to be reviewed in the coming year</w:t>
      </w:r>
    </w:p>
    <w:p w:rsidR="0099705E" w:rsidRPr="0099705E" w:rsidRDefault="0099705E" w:rsidP="0099705E">
      <w:pPr>
        <w:numPr>
          <w:ilvl w:val="0"/>
          <w:numId w:val="1"/>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Provost</w:t>
      </w:r>
    </w:p>
    <w:p w:rsidR="0099705E" w:rsidRPr="0099705E" w:rsidRDefault="0099705E" w:rsidP="0099705E">
      <w:pPr>
        <w:numPr>
          <w:ilvl w:val="0"/>
          <w:numId w:val="1"/>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two Associate Provosts</w:t>
      </w:r>
    </w:p>
    <w:p w:rsidR="0099705E" w:rsidRPr="0099705E" w:rsidRDefault="0099705E" w:rsidP="0099705E">
      <w:pPr>
        <w:numPr>
          <w:ilvl w:val="0"/>
          <w:numId w:val="1"/>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Office of Institutional Effectiveness representative</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The Provost is the chair of this committee. The Provost, Associate Provosts, and Institutional Effectiveness Representative are ex-officio, non-voting members.</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Process and Committee Member Responsibilities</w:t>
      </w:r>
    </w:p>
    <w:p w:rsidR="0099705E" w:rsidRPr="0099705E" w:rsidRDefault="0099705E" w:rsidP="0099705E">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The Program Review Standing Committee meets as often as needed to accommodate all program reviews which took place during the previous academic year. Specifically, the role of the Committee is to:</w:t>
      </w:r>
    </w:p>
    <w:p w:rsidR="0099705E" w:rsidRPr="0099705E" w:rsidRDefault="0099705E" w:rsidP="0099705E">
      <w:pPr>
        <w:numPr>
          <w:ilvl w:val="0"/>
          <w:numId w:val="2"/>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Prior to the Committee meeting(s), read the following documents which are provided by the Office of Institutional Effectiveness:</w:t>
      </w:r>
    </w:p>
    <w:p w:rsidR="0099705E" w:rsidRPr="0099705E" w:rsidRDefault="0099705E" w:rsidP="0099705E">
      <w:pPr>
        <w:numPr>
          <w:ilvl w:val="1"/>
          <w:numId w:val="2"/>
        </w:numPr>
        <w:shd w:val="clear" w:color="auto" w:fill="FFFFFF"/>
        <w:spacing w:after="0" w:line="240" w:lineRule="auto"/>
        <w:ind w:left="2160"/>
        <w:rPr>
          <w:rFonts w:ascii="inherit" w:eastAsia="Times New Roman" w:hAnsi="inherit" w:cs="Times New Roman"/>
          <w:color w:val="6F6F6F"/>
          <w:sz w:val="24"/>
          <w:szCs w:val="24"/>
        </w:rPr>
      </w:pPr>
      <w:r w:rsidRPr="0099705E">
        <w:rPr>
          <w:rFonts w:ascii="inherit" w:eastAsia="Times New Roman" w:hAnsi="inherit" w:cs="Times New Roman"/>
          <w:color w:val="6F6F6F"/>
          <w:sz w:val="24"/>
          <w:szCs w:val="24"/>
        </w:rPr>
        <w:t>executive summary of the self-study</w:t>
      </w:r>
    </w:p>
    <w:p w:rsidR="0099705E" w:rsidRPr="0099705E" w:rsidRDefault="0099705E" w:rsidP="0099705E">
      <w:pPr>
        <w:numPr>
          <w:ilvl w:val="1"/>
          <w:numId w:val="2"/>
        </w:numPr>
        <w:shd w:val="clear" w:color="auto" w:fill="FFFFFF"/>
        <w:spacing w:after="0" w:line="240" w:lineRule="auto"/>
        <w:ind w:left="2160"/>
        <w:rPr>
          <w:rFonts w:ascii="inherit" w:eastAsia="Times New Roman" w:hAnsi="inherit" w:cs="Times New Roman"/>
          <w:color w:val="6F6F6F"/>
          <w:sz w:val="24"/>
          <w:szCs w:val="24"/>
        </w:rPr>
      </w:pPr>
      <w:r w:rsidRPr="0099705E">
        <w:rPr>
          <w:rFonts w:ascii="inherit" w:eastAsia="Times New Roman" w:hAnsi="inherit" w:cs="Times New Roman"/>
          <w:color w:val="6F6F6F"/>
          <w:sz w:val="24"/>
          <w:szCs w:val="24"/>
        </w:rPr>
        <w:t>report of the Program Review Evaluation Team</w:t>
      </w:r>
    </w:p>
    <w:p w:rsidR="0099705E" w:rsidRPr="0099705E" w:rsidRDefault="0099705E" w:rsidP="0099705E">
      <w:pPr>
        <w:numPr>
          <w:ilvl w:val="1"/>
          <w:numId w:val="2"/>
        </w:numPr>
        <w:shd w:val="clear" w:color="auto" w:fill="FFFFFF"/>
        <w:spacing w:after="0" w:line="240" w:lineRule="auto"/>
        <w:ind w:left="2160"/>
        <w:rPr>
          <w:rFonts w:ascii="inherit" w:eastAsia="Times New Roman" w:hAnsi="inherit" w:cs="Times New Roman"/>
          <w:color w:val="6F6F6F"/>
          <w:sz w:val="24"/>
          <w:szCs w:val="24"/>
        </w:rPr>
      </w:pPr>
      <w:r w:rsidRPr="0099705E">
        <w:rPr>
          <w:rFonts w:ascii="inherit" w:eastAsia="Times New Roman" w:hAnsi="inherit" w:cs="Times New Roman"/>
          <w:color w:val="6F6F6F"/>
          <w:sz w:val="24"/>
          <w:szCs w:val="24"/>
        </w:rPr>
        <w:t>response of the Program Faculty to the Team report</w:t>
      </w:r>
    </w:p>
    <w:p w:rsidR="0099705E" w:rsidRPr="0099705E" w:rsidRDefault="0099705E" w:rsidP="0099705E">
      <w:pPr>
        <w:numPr>
          <w:ilvl w:val="1"/>
          <w:numId w:val="2"/>
        </w:numPr>
        <w:shd w:val="clear" w:color="auto" w:fill="FFFFFF"/>
        <w:spacing w:after="100" w:line="240" w:lineRule="auto"/>
        <w:ind w:left="2160"/>
        <w:rPr>
          <w:rFonts w:ascii="inherit" w:eastAsia="Times New Roman" w:hAnsi="inherit" w:cs="Times New Roman"/>
          <w:color w:val="6F6F6F"/>
          <w:sz w:val="24"/>
          <w:szCs w:val="24"/>
        </w:rPr>
      </w:pPr>
      <w:r w:rsidRPr="0099705E">
        <w:rPr>
          <w:rFonts w:ascii="inherit" w:eastAsia="Times New Roman" w:hAnsi="inherit" w:cs="Times New Roman"/>
          <w:color w:val="6F6F6F"/>
          <w:sz w:val="24"/>
          <w:szCs w:val="24"/>
        </w:rPr>
        <w:t>response of the Dean to all program review documents</w:t>
      </w:r>
    </w:p>
    <w:p w:rsidR="0099705E" w:rsidRPr="0099705E" w:rsidRDefault="0099705E" w:rsidP="0099705E">
      <w:pPr>
        <w:numPr>
          <w:ilvl w:val="0"/>
          <w:numId w:val="2"/>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lastRenderedPageBreak/>
        <w:t>During the Committee meeting(s), listen to a brief five-minute summary by a Program Faculty member on the program review findings. As needed, ask questions for clarification. NOTE: The Committee's role is NOT to second-guess the findings made by the evaluation teams, but to create a division-wide perspective on the results of the reviews and to assist in improving our academic programs.</w:t>
      </w:r>
      <w:r w:rsidRPr="0099705E">
        <w:rPr>
          <w:rFonts w:ascii="Times New Roman" w:eastAsia="Times New Roman" w:hAnsi="Times New Roman" w:cs="Times New Roman"/>
          <w:color w:val="575047"/>
          <w:sz w:val="24"/>
          <w:szCs w:val="24"/>
        </w:rPr>
        <w:br/>
        <w:t> </w:t>
      </w:r>
    </w:p>
    <w:p w:rsidR="0099705E" w:rsidRPr="0099705E" w:rsidRDefault="0099705E" w:rsidP="0099705E">
      <w:pPr>
        <w:numPr>
          <w:ilvl w:val="0"/>
          <w:numId w:val="2"/>
        </w:numPr>
        <w:shd w:val="clear" w:color="auto" w:fill="FFFFFF"/>
        <w:spacing w:after="0" w:line="384" w:lineRule="atLeast"/>
        <w:rPr>
          <w:rFonts w:ascii="Times New Roman" w:eastAsia="Times New Roman" w:hAnsi="Times New Roman" w:cs="Times New Roman"/>
          <w:color w:val="575047"/>
          <w:sz w:val="24"/>
          <w:szCs w:val="24"/>
        </w:rPr>
      </w:pPr>
      <w:r w:rsidRPr="0099705E">
        <w:rPr>
          <w:rFonts w:ascii="Times New Roman" w:eastAsia="Times New Roman" w:hAnsi="Times New Roman" w:cs="Times New Roman"/>
          <w:color w:val="575047"/>
          <w:sz w:val="24"/>
          <w:szCs w:val="24"/>
        </w:rPr>
        <w:t>At the conclusion of each program report or at the end of each meeting, recommend the Provost accept, or accept with modifications, the findings of the program review.</w:t>
      </w:r>
    </w:p>
    <w:p w:rsidR="00250E60" w:rsidRDefault="00250E60"/>
    <w:sectPr w:rsidR="00250E60" w:rsidSect="0099705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1E1"/>
    <w:multiLevelType w:val="multilevel"/>
    <w:tmpl w:val="B6F45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63276"/>
    <w:multiLevelType w:val="multilevel"/>
    <w:tmpl w:val="521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5E"/>
    <w:rsid w:val="00250E60"/>
    <w:rsid w:val="0099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D87C-565D-4726-9540-EB2654E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7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05E"/>
    <w:rPr>
      <w:b/>
      <w:bCs/>
    </w:rPr>
  </w:style>
  <w:style w:type="character" w:customStyle="1" w:styleId="apple-converted-space">
    <w:name w:val="apple-converted-space"/>
    <w:basedOn w:val="DefaultParagraphFont"/>
    <w:rsid w:val="0099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231">
      <w:bodyDiv w:val="1"/>
      <w:marLeft w:val="0"/>
      <w:marRight w:val="0"/>
      <w:marTop w:val="0"/>
      <w:marBottom w:val="0"/>
      <w:divBdr>
        <w:top w:val="none" w:sz="0" w:space="0" w:color="auto"/>
        <w:left w:val="none" w:sz="0" w:space="0" w:color="auto"/>
        <w:bottom w:val="none" w:sz="0" w:space="0" w:color="auto"/>
        <w:right w:val="none" w:sz="0" w:space="0" w:color="auto"/>
      </w:divBdr>
      <w:divsChild>
        <w:div w:id="1796409014">
          <w:marLeft w:val="0"/>
          <w:marRight w:val="0"/>
          <w:marTop w:val="0"/>
          <w:marBottom w:val="0"/>
          <w:divBdr>
            <w:top w:val="none" w:sz="0" w:space="0" w:color="auto"/>
            <w:left w:val="none" w:sz="0" w:space="0" w:color="auto"/>
            <w:bottom w:val="none" w:sz="0" w:space="0" w:color="auto"/>
            <w:right w:val="none" w:sz="0" w:space="0" w:color="auto"/>
          </w:divBdr>
        </w:div>
        <w:div w:id="7419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Company>Weber State University</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Brenda Stockberger</cp:lastModifiedBy>
  <cp:revision>1</cp:revision>
  <dcterms:created xsi:type="dcterms:W3CDTF">2016-08-30T20:17:00Z</dcterms:created>
  <dcterms:modified xsi:type="dcterms:W3CDTF">2016-08-30T20:18:00Z</dcterms:modified>
</cp:coreProperties>
</file>