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76818" w14:textId="77777777" w:rsidR="00AE17D5" w:rsidRPr="002635CF" w:rsidRDefault="00951555">
      <w:pPr>
        <w:rPr>
          <w:b/>
        </w:rPr>
      </w:pPr>
      <w:bookmarkStart w:id="0" w:name="_GoBack"/>
      <w:bookmarkEnd w:id="0"/>
      <w:r w:rsidRPr="002635CF">
        <w:rPr>
          <w:b/>
        </w:rPr>
        <w:t>SBBFP Committee Report for Senate Agenda Setting 2 March 2017</w:t>
      </w:r>
    </w:p>
    <w:p w14:paraId="143104FD" w14:textId="77777777" w:rsidR="00951555" w:rsidRDefault="00951555"/>
    <w:p w14:paraId="37990E17" w14:textId="34A9591D" w:rsidR="00951555" w:rsidRPr="006F2BE6" w:rsidRDefault="00EE34C9">
      <w:pPr>
        <w:rPr>
          <w:b/>
        </w:rPr>
      </w:pPr>
      <w:r w:rsidRPr="006F2BE6">
        <w:rPr>
          <w:b/>
        </w:rPr>
        <w:t xml:space="preserve">Report on Charge 4 </w:t>
      </w:r>
      <w:r w:rsidR="004F757A" w:rsidRPr="006F2BE6">
        <w:rPr>
          <w:b/>
        </w:rPr>
        <w:t>- Gather information regarding faculty experiences with respect to benefits administration.</w:t>
      </w:r>
    </w:p>
    <w:p w14:paraId="05BE65D5" w14:textId="77777777" w:rsidR="004F757A" w:rsidRDefault="004F757A"/>
    <w:p w14:paraId="1FA4338B" w14:textId="548D2918" w:rsidR="004F757A" w:rsidRDefault="00312BE5">
      <w:r>
        <w:t xml:space="preserve">The Committee designed and administered a 19-item </w:t>
      </w:r>
      <w:r w:rsidR="003D6818">
        <w:t xml:space="preserve">Likert </w:t>
      </w:r>
      <w:r w:rsidR="00A1392C">
        <w:t xml:space="preserve">scale based </w:t>
      </w:r>
      <w:r>
        <w:t>survey covering all as</w:t>
      </w:r>
      <w:r w:rsidR="00A1392C">
        <w:t xml:space="preserve">pects of faculty benefits.  </w:t>
      </w:r>
      <w:r w:rsidR="001630EA">
        <w:t xml:space="preserve">The response rate for the survey was 51.4% with </w:t>
      </w:r>
      <w:r w:rsidR="0072318E">
        <w:t>275</w:t>
      </w:r>
      <w:r w:rsidR="00A016DB">
        <w:t xml:space="preserve"> of </w:t>
      </w:r>
      <w:r w:rsidR="00807A51">
        <w:t xml:space="preserve">535 </w:t>
      </w:r>
      <w:r w:rsidR="0072318E">
        <w:t xml:space="preserve">Faculty </w:t>
      </w:r>
      <w:r w:rsidR="00807A51">
        <w:t xml:space="preserve">surveyed </w:t>
      </w:r>
      <w:r w:rsidR="001630EA">
        <w:t>responding</w:t>
      </w:r>
      <w:r w:rsidR="0072318E">
        <w:t xml:space="preserve"> to the survey</w:t>
      </w:r>
      <w:r w:rsidR="00EF75DB">
        <w:t xml:space="preserve"> </w:t>
      </w:r>
      <w:r w:rsidR="001630EA">
        <w:t xml:space="preserve">and </w:t>
      </w:r>
      <w:r w:rsidR="00EF75DB">
        <w:t xml:space="preserve">100 comments provided.  </w:t>
      </w:r>
      <w:r w:rsidR="00A1392C">
        <w:t xml:space="preserve">Likert-scale results and a summary of comments are included </w:t>
      </w:r>
      <w:r w:rsidR="00EF75DB">
        <w:t>with the attached report.  The results were generally positive</w:t>
      </w:r>
      <w:r w:rsidR="00A1392C">
        <w:t>.</w:t>
      </w:r>
    </w:p>
    <w:p w14:paraId="0A958B31" w14:textId="77777777" w:rsidR="00EF75DB" w:rsidRDefault="00EF75DB"/>
    <w:p w14:paraId="2609979E" w14:textId="530BAE69" w:rsidR="00EF75DB" w:rsidRDefault="00F6701E">
      <w:r>
        <w:t xml:space="preserve">Likert Scale Results:  The clear majority of responses on </w:t>
      </w:r>
      <w:r w:rsidR="00EF75DB">
        <w:t>Medical, Dental, Retirement, Tuition Benefit, Wellness, Season tickets w</w:t>
      </w:r>
      <w:r>
        <w:t xml:space="preserve">ere satisfied or very satisfied.  Vision benefit response was mixed.  Respondents indicated a lack of awareness or experience with the other categories. </w:t>
      </w:r>
    </w:p>
    <w:p w14:paraId="022ED641" w14:textId="77777777" w:rsidR="00F6701E" w:rsidRDefault="00F6701E"/>
    <w:p w14:paraId="59DE2280" w14:textId="39DE6CC2" w:rsidR="00F6701E" w:rsidRDefault="00F6701E">
      <w:r>
        <w:t xml:space="preserve">Comment Summary: </w:t>
      </w:r>
    </w:p>
    <w:tbl>
      <w:tblPr>
        <w:tblW w:w="93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595"/>
        <w:gridCol w:w="1170"/>
        <w:gridCol w:w="1260"/>
        <w:gridCol w:w="3325"/>
      </w:tblGrid>
      <w:tr w:rsidR="008B1A24" w:rsidRPr="006A16D6" w14:paraId="0DD45EE5" w14:textId="77777777" w:rsidTr="00830BFD">
        <w:trPr>
          <w:trHeight w:val="300"/>
        </w:trPr>
        <w:tc>
          <w:tcPr>
            <w:tcW w:w="3595" w:type="dxa"/>
            <w:shd w:val="clear" w:color="auto" w:fill="auto"/>
            <w:noWrap/>
            <w:hideMark/>
          </w:tcPr>
          <w:p w14:paraId="50FF0ADF" w14:textId="77777777" w:rsidR="008B1A24" w:rsidRPr="006A16D6" w:rsidRDefault="008B1A24" w:rsidP="00830BFD">
            <w:pP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Benefit</w:t>
            </w:r>
          </w:p>
        </w:tc>
        <w:tc>
          <w:tcPr>
            <w:tcW w:w="1170" w:type="dxa"/>
            <w:shd w:val="clear" w:color="auto" w:fill="auto"/>
            <w:noWrap/>
            <w:hideMark/>
          </w:tcPr>
          <w:p w14:paraId="6350ED25" w14:textId="77777777" w:rsidR="008B1A24" w:rsidRPr="006A16D6" w:rsidRDefault="008B1A24" w:rsidP="00830BFD">
            <w:pPr>
              <w:rPr>
                <w:rFonts w:ascii="Calibri" w:eastAsia="Times New Roman" w:hAnsi="Calibri" w:cs="Times New Roman"/>
                <w:b/>
                <w:bCs/>
                <w:color w:val="000000"/>
                <w:sz w:val="22"/>
                <w:szCs w:val="22"/>
              </w:rPr>
            </w:pPr>
            <w:r w:rsidRPr="006A16D6">
              <w:rPr>
                <w:rFonts w:ascii="Calibri" w:eastAsia="Times New Roman" w:hAnsi="Calibri" w:cs="Times New Roman"/>
                <w:b/>
                <w:bCs/>
                <w:color w:val="000000"/>
                <w:sz w:val="22"/>
                <w:szCs w:val="22"/>
              </w:rPr>
              <w:t>Positive comment</w:t>
            </w:r>
          </w:p>
        </w:tc>
        <w:tc>
          <w:tcPr>
            <w:tcW w:w="1260" w:type="dxa"/>
            <w:shd w:val="clear" w:color="auto" w:fill="auto"/>
            <w:noWrap/>
            <w:hideMark/>
          </w:tcPr>
          <w:p w14:paraId="32A68001" w14:textId="77777777" w:rsidR="008B1A24" w:rsidRPr="006A16D6" w:rsidRDefault="008B1A24" w:rsidP="00830BFD">
            <w:pPr>
              <w:rPr>
                <w:rFonts w:ascii="Calibri" w:eastAsia="Times New Roman" w:hAnsi="Calibri" w:cs="Times New Roman"/>
                <w:b/>
                <w:bCs/>
                <w:color w:val="000000"/>
                <w:sz w:val="22"/>
                <w:szCs w:val="22"/>
              </w:rPr>
            </w:pPr>
            <w:r w:rsidRPr="006A16D6">
              <w:rPr>
                <w:rFonts w:ascii="Calibri" w:eastAsia="Times New Roman" w:hAnsi="Calibri" w:cs="Times New Roman"/>
                <w:b/>
                <w:bCs/>
                <w:color w:val="000000"/>
                <w:sz w:val="22"/>
                <w:szCs w:val="22"/>
              </w:rPr>
              <w:t>Negative comments</w:t>
            </w:r>
          </w:p>
        </w:tc>
        <w:tc>
          <w:tcPr>
            <w:tcW w:w="3325" w:type="dxa"/>
          </w:tcPr>
          <w:p w14:paraId="38897EDB" w14:textId="77777777" w:rsidR="008B1A24" w:rsidRPr="006A16D6" w:rsidRDefault="008B1A24" w:rsidP="00830BFD">
            <w:pP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Comment Summary</w:t>
            </w:r>
          </w:p>
        </w:tc>
      </w:tr>
      <w:tr w:rsidR="008B1A24" w:rsidRPr="006A16D6" w14:paraId="4CF94A8B" w14:textId="77777777" w:rsidTr="00830BFD">
        <w:trPr>
          <w:trHeight w:val="300"/>
        </w:trPr>
        <w:tc>
          <w:tcPr>
            <w:tcW w:w="3595" w:type="dxa"/>
            <w:shd w:val="clear" w:color="auto" w:fill="auto"/>
            <w:noWrap/>
            <w:hideMark/>
          </w:tcPr>
          <w:p w14:paraId="274927AC" w14:textId="77777777" w:rsidR="008B1A24" w:rsidRPr="006A16D6" w:rsidRDefault="008B1A24" w:rsidP="00830BFD">
            <w:pPr>
              <w:rPr>
                <w:rFonts w:ascii="Calibri" w:eastAsia="Times New Roman" w:hAnsi="Calibri" w:cs="Times New Roman"/>
                <w:color w:val="000000"/>
                <w:sz w:val="22"/>
                <w:szCs w:val="22"/>
              </w:rPr>
            </w:pPr>
            <w:r w:rsidRPr="006A16D6">
              <w:rPr>
                <w:rFonts w:ascii="Calibri" w:eastAsia="Times New Roman" w:hAnsi="Calibri" w:cs="Times New Roman"/>
                <w:color w:val="000000"/>
                <w:sz w:val="22"/>
                <w:szCs w:val="22"/>
              </w:rPr>
              <w:t xml:space="preserve">Dental </w:t>
            </w:r>
          </w:p>
        </w:tc>
        <w:tc>
          <w:tcPr>
            <w:tcW w:w="1170" w:type="dxa"/>
            <w:shd w:val="clear" w:color="auto" w:fill="auto"/>
            <w:noWrap/>
            <w:hideMark/>
          </w:tcPr>
          <w:p w14:paraId="3C83B8F7" w14:textId="77777777" w:rsidR="008B1A24" w:rsidRPr="006A16D6" w:rsidRDefault="008B1A24" w:rsidP="00830BFD">
            <w:pPr>
              <w:rPr>
                <w:rFonts w:ascii="Calibri" w:eastAsia="Times New Roman" w:hAnsi="Calibri" w:cs="Times New Roman"/>
                <w:color w:val="000000"/>
                <w:sz w:val="22"/>
                <w:szCs w:val="22"/>
              </w:rPr>
            </w:pPr>
          </w:p>
        </w:tc>
        <w:tc>
          <w:tcPr>
            <w:tcW w:w="1260" w:type="dxa"/>
            <w:shd w:val="clear" w:color="auto" w:fill="auto"/>
            <w:noWrap/>
            <w:hideMark/>
          </w:tcPr>
          <w:p w14:paraId="245BC083" w14:textId="77777777" w:rsidR="008B1A24" w:rsidRPr="006A16D6" w:rsidRDefault="008B1A24" w:rsidP="00830BFD">
            <w:pPr>
              <w:rPr>
                <w:rFonts w:ascii="Calibri" w:eastAsia="Times New Roman" w:hAnsi="Calibri" w:cs="Times New Roman"/>
                <w:color w:val="000000"/>
                <w:sz w:val="22"/>
                <w:szCs w:val="22"/>
              </w:rPr>
            </w:pPr>
            <w:r w:rsidRPr="006A16D6">
              <w:rPr>
                <w:rFonts w:ascii="Calibri" w:eastAsia="Times New Roman" w:hAnsi="Calibri" w:cs="Times New Roman"/>
                <w:color w:val="000000"/>
                <w:sz w:val="22"/>
                <w:szCs w:val="22"/>
              </w:rPr>
              <w:t>6</w:t>
            </w:r>
          </w:p>
        </w:tc>
        <w:tc>
          <w:tcPr>
            <w:tcW w:w="3325" w:type="dxa"/>
          </w:tcPr>
          <w:p w14:paraId="6EF520D4" w14:textId="77777777" w:rsidR="008B1A24" w:rsidRPr="006A16D6" w:rsidRDefault="008B1A24" w:rsidP="00830BFD">
            <w:pPr>
              <w:rPr>
                <w:rFonts w:ascii="Calibri" w:eastAsia="Times New Roman" w:hAnsi="Calibri" w:cs="Times New Roman"/>
                <w:color w:val="000000"/>
                <w:sz w:val="22"/>
                <w:szCs w:val="22"/>
              </w:rPr>
            </w:pPr>
            <w:r w:rsidRPr="00FE148A">
              <w:rPr>
                <w:rFonts w:ascii="Calibri" w:eastAsia="Times New Roman" w:hAnsi="Calibri" w:cs="Times New Roman"/>
                <w:color w:val="000000"/>
                <w:sz w:val="22"/>
                <w:szCs w:val="22"/>
              </w:rPr>
              <w:t>Consider covering regular cleanings 100%</w:t>
            </w:r>
          </w:p>
        </w:tc>
      </w:tr>
      <w:tr w:rsidR="008B1A24" w:rsidRPr="006A16D6" w14:paraId="230F9687" w14:textId="77777777" w:rsidTr="00830BFD">
        <w:trPr>
          <w:trHeight w:val="300"/>
        </w:trPr>
        <w:tc>
          <w:tcPr>
            <w:tcW w:w="3595" w:type="dxa"/>
            <w:shd w:val="clear" w:color="auto" w:fill="auto"/>
            <w:noWrap/>
            <w:hideMark/>
          </w:tcPr>
          <w:p w14:paraId="12AD9522" w14:textId="77777777" w:rsidR="008B1A24" w:rsidRPr="006A16D6" w:rsidRDefault="008B1A24" w:rsidP="00830BFD">
            <w:pPr>
              <w:rPr>
                <w:rFonts w:ascii="Calibri" w:eastAsia="Times New Roman" w:hAnsi="Calibri" w:cs="Times New Roman"/>
                <w:color w:val="000000"/>
                <w:sz w:val="22"/>
                <w:szCs w:val="22"/>
              </w:rPr>
            </w:pPr>
            <w:r w:rsidRPr="006A16D6">
              <w:rPr>
                <w:rFonts w:ascii="Calibri" w:eastAsia="Times New Roman" w:hAnsi="Calibri" w:cs="Times New Roman"/>
                <w:color w:val="000000"/>
                <w:sz w:val="22"/>
                <w:szCs w:val="22"/>
              </w:rPr>
              <w:t xml:space="preserve">Vision </w:t>
            </w:r>
          </w:p>
        </w:tc>
        <w:tc>
          <w:tcPr>
            <w:tcW w:w="1170" w:type="dxa"/>
            <w:shd w:val="clear" w:color="auto" w:fill="auto"/>
            <w:noWrap/>
            <w:hideMark/>
          </w:tcPr>
          <w:p w14:paraId="283EFCA4" w14:textId="77777777" w:rsidR="008B1A24" w:rsidRPr="006A16D6" w:rsidRDefault="008B1A24" w:rsidP="00830BFD">
            <w:pPr>
              <w:rPr>
                <w:rFonts w:ascii="Calibri" w:eastAsia="Times New Roman" w:hAnsi="Calibri" w:cs="Times New Roman"/>
                <w:color w:val="000000"/>
                <w:sz w:val="22"/>
                <w:szCs w:val="22"/>
              </w:rPr>
            </w:pPr>
          </w:p>
        </w:tc>
        <w:tc>
          <w:tcPr>
            <w:tcW w:w="1260" w:type="dxa"/>
            <w:shd w:val="clear" w:color="auto" w:fill="auto"/>
            <w:noWrap/>
            <w:hideMark/>
          </w:tcPr>
          <w:p w14:paraId="136ED767" w14:textId="77777777" w:rsidR="008B1A24" w:rsidRPr="006A16D6" w:rsidRDefault="008B1A24" w:rsidP="00830BFD">
            <w:pPr>
              <w:rPr>
                <w:rFonts w:ascii="Calibri" w:eastAsia="Times New Roman" w:hAnsi="Calibri" w:cs="Times New Roman"/>
                <w:color w:val="000000"/>
                <w:sz w:val="22"/>
                <w:szCs w:val="22"/>
              </w:rPr>
            </w:pPr>
            <w:r w:rsidRPr="006A16D6">
              <w:rPr>
                <w:rFonts w:ascii="Calibri" w:eastAsia="Times New Roman" w:hAnsi="Calibri" w:cs="Times New Roman"/>
                <w:color w:val="000000"/>
                <w:sz w:val="22"/>
                <w:szCs w:val="22"/>
              </w:rPr>
              <w:t>2</w:t>
            </w:r>
          </w:p>
        </w:tc>
        <w:tc>
          <w:tcPr>
            <w:tcW w:w="3325" w:type="dxa"/>
          </w:tcPr>
          <w:p w14:paraId="1E4A4A42" w14:textId="77777777" w:rsidR="008B1A24" w:rsidRPr="006A16D6" w:rsidRDefault="008B1A24" w:rsidP="00830BFD">
            <w:pPr>
              <w:rPr>
                <w:rFonts w:ascii="Calibri" w:eastAsia="Times New Roman" w:hAnsi="Calibri" w:cs="Times New Roman"/>
                <w:color w:val="000000"/>
                <w:sz w:val="22"/>
                <w:szCs w:val="22"/>
              </w:rPr>
            </w:pPr>
            <w:r w:rsidRPr="00FE148A">
              <w:rPr>
                <w:rFonts w:ascii="Calibri" w:eastAsia="Times New Roman" w:hAnsi="Calibri" w:cs="Times New Roman"/>
                <w:color w:val="000000"/>
                <w:sz w:val="22"/>
                <w:szCs w:val="22"/>
              </w:rPr>
              <w:t xml:space="preserve">Better explanation at Open Enrollment </w:t>
            </w:r>
          </w:p>
        </w:tc>
      </w:tr>
      <w:tr w:rsidR="008B1A24" w:rsidRPr="006A16D6" w14:paraId="6BB5FD18" w14:textId="77777777" w:rsidTr="00830BFD">
        <w:trPr>
          <w:trHeight w:val="300"/>
        </w:trPr>
        <w:tc>
          <w:tcPr>
            <w:tcW w:w="3595" w:type="dxa"/>
            <w:shd w:val="clear" w:color="auto" w:fill="auto"/>
            <w:noWrap/>
            <w:hideMark/>
          </w:tcPr>
          <w:p w14:paraId="280E76A3" w14:textId="77777777" w:rsidR="008B1A24" w:rsidRPr="006A16D6" w:rsidRDefault="008B1A24" w:rsidP="00830BFD">
            <w:pPr>
              <w:rPr>
                <w:rFonts w:ascii="Calibri" w:eastAsia="Times New Roman" w:hAnsi="Calibri" w:cs="Times New Roman"/>
                <w:color w:val="000000"/>
                <w:sz w:val="20"/>
                <w:szCs w:val="20"/>
              </w:rPr>
            </w:pPr>
            <w:r w:rsidRPr="006A16D6">
              <w:rPr>
                <w:rFonts w:ascii="Calibri" w:eastAsia="Times New Roman" w:hAnsi="Calibri" w:cs="Times New Roman"/>
                <w:color w:val="000000"/>
                <w:sz w:val="20"/>
                <w:szCs w:val="20"/>
              </w:rPr>
              <w:t xml:space="preserve">Employee </w:t>
            </w:r>
            <w:r>
              <w:rPr>
                <w:rFonts w:ascii="Calibri" w:eastAsia="Times New Roman" w:hAnsi="Calibri" w:cs="Times New Roman"/>
                <w:color w:val="000000"/>
                <w:sz w:val="20"/>
                <w:szCs w:val="20"/>
              </w:rPr>
              <w:t xml:space="preserve">and Life </w:t>
            </w:r>
            <w:r w:rsidRPr="006A16D6">
              <w:rPr>
                <w:rFonts w:ascii="Calibri" w:eastAsia="Times New Roman" w:hAnsi="Calibri" w:cs="Times New Roman"/>
                <w:color w:val="000000"/>
                <w:sz w:val="20"/>
                <w:szCs w:val="20"/>
              </w:rPr>
              <w:t>Assistance (</w:t>
            </w:r>
            <w:proofErr w:type="spellStart"/>
            <w:r w:rsidRPr="006A16D6">
              <w:rPr>
                <w:rFonts w:ascii="Calibri" w:eastAsia="Times New Roman" w:hAnsi="Calibri" w:cs="Times New Roman"/>
                <w:color w:val="000000"/>
                <w:sz w:val="20"/>
                <w:szCs w:val="20"/>
              </w:rPr>
              <w:t>EAP</w:t>
            </w:r>
            <w:proofErr w:type="spellEnd"/>
            <w:r w:rsidRPr="006A16D6">
              <w:rPr>
                <w:rFonts w:ascii="Calibri" w:eastAsia="Times New Roman" w:hAnsi="Calibri" w:cs="Times New Roman"/>
                <w:color w:val="000000"/>
                <w:sz w:val="20"/>
                <w:szCs w:val="20"/>
              </w:rPr>
              <w:t>)</w:t>
            </w:r>
          </w:p>
        </w:tc>
        <w:tc>
          <w:tcPr>
            <w:tcW w:w="1170" w:type="dxa"/>
            <w:shd w:val="clear" w:color="auto" w:fill="auto"/>
            <w:noWrap/>
            <w:hideMark/>
          </w:tcPr>
          <w:p w14:paraId="4DEA0A87" w14:textId="77777777" w:rsidR="008B1A24" w:rsidRPr="006A16D6" w:rsidRDefault="008B1A24" w:rsidP="00830BFD">
            <w:pPr>
              <w:rPr>
                <w:rFonts w:ascii="Calibri" w:eastAsia="Times New Roman" w:hAnsi="Calibri" w:cs="Times New Roman"/>
                <w:color w:val="000000"/>
                <w:sz w:val="20"/>
                <w:szCs w:val="20"/>
              </w:rPr>
            </w:pPr>
          </w:p>
        </w:tc>
        <w:tc>
          <w:tcPr>
            <w:tcW w:w="1260" w:type="dxa"/>
            <w:shd w:val="clear" w:color="auto" w:fill="auto"/>
            <w:noWrap/>
            <w:hideMark/>
          </w:tcPr>
          <w:p w14:paraId="26A2C98A" w14:textId="77777777" w:rsidR="008B1A24" w:rsidRPr="006A16D6" w:rsidRDefault="008B1A24" w:rsidP="00830BFD">
            <w:pPr>
              <w:rPr>
                <w:rFonts w:ascii="Calibri" w:eastAsia="Times New Roman" w:hAnsi="Calibri" w:cs="Times New Roman"/>
                <w:color w:val="000000"/>
                <w:sz w:val="22"/>
                <w:szCs w:val="22"/>
              </w:rPr>
            </w:pPr>
            <w:r w:rsidRPr="006A16D6">
              <w:rPr>
                <w:rFonts w:ascii="Calibri" w:eastAsia="Times New Roman" w:hAnsi="Calibri" w:cs="Times New Roman"/>
                <w:color w:val="000000"/>
                <w:sz w:val="22"/>
                <w:szCs w:val="22"/>
              </w:rPr>
              <w:t>2</w:t>
            </w:r>
          </w:p>
        </w:tc>
        <w:tc>
          <w:tcPr>
            <w:tcW w:w="3325" w:type="dxa"/>
          </w:tcPr>
          <w:p w14:paraId="4E1A8D92" w14:textId="77777777" w:rsidR="008B1A24" w:rsidRPr="006A16D6" w:rsidRDefault="008B1A24" w:rsidP="00830BFD">
            <w:pPr>
              <w:rPr>
                <w:rFonts w:ascii="Calibri" w:eastAsia="Times New Roman" w:hAnsi="Calibri" w:cs="Times New Roman"/>
                <w:color w:val="000000"/>
                <w:sz w:val="22"/>
                <w:szCs w:val="22"/>
              </w:rPr>
            </w:pPr>
            <w:r w:rsidRPr="00FE148A">
              <w:rPr>
                <w:rFonts w:ascii="Calibri" w:eastAsia="Times New Roman" w:hAnsi="Calibri" w:cs="Times New Roman"/>
                <w:color w:val="000000"/>
                <w:sz w:val="22"/>
                <w:szCs w:val="22"/>
              </w:rPr>
              <w:t>Dissatisfaction with the interaction (</w:t>
            </w:r>
            <w:proofErr w:type="spellStart"/>
            <w:r w:rsidRPr="00FE148A">
              <w:rPr>
                <w:rFonts w:ascii="Calibri" w:eastAsia="Times New Roman" w:hAnsi="Calibri" w:cs="Times New Roman"/>
                <w:color w:val="000000"/>
                <w:sz w:val="22"/>
                <w:szCs w:val="22"/>
              </w:rPr>
              <w:t>Blomquist</w:t>
            </w:r>
            <w:proofErr w:type="spellEnd"/>
            <w:r w:rsidRPr="00FE148A">
              <w:rPr>
                <w:rFonts w:ascii="Calibri" w:eastAsia="Times New Roman" w:hAnsi="Calibri" w:cs="Times New Roman"/>
                <w:color w:val="000000"/>
                <w:sz w:val="22"/>
                <w:szCs w:val="22"/>
              </w:rPr>
              <w:t xml:space="preserve"> Hale) - follow up with the outside provider - HR</w:t>
            </w:r>
          </w:p>
        </w:tc>
      </w:tr>
      <w:tr w:rsidR="008B1A24" w:rsidRPr="006A16D6" w14:paraId="64446E00" w14:textId="77777777" w:rsidTr="00830BFD">
        <w:trPr>
          <w:trHeight w:val="300"/>
        </w:trPr>
        <w:tc>
          <w:tcPr>
            <w:tcW w:w="3595" w:type="dxa"/>
            <w:shd w:val="clear" w:color="auto" w:fill="auto"/>
            <w:noWrap/>
            <w:hideMark/>
          </w:tcPr>
          <w:p w14:paraId="3FBB6081" w14:textId="77777777" w:rsidR="008B1A24" w:rsidRPr="006A16D6" w:rsidRDefault="008B1A24" w:rsidP="00830BFD">
            <w:pPr>
              <w:rPr>
                <w:rFonts w:ascii="Calibri" w:eastAsia="Times New Roman" w:hAnsi="Calibri" w:cs="Times New Roman"/>
                <w:color w:val="000000"/>
                <w:sz w:val="22"/>
                <w:szCs w:val="22"/>
              </w:rPr>
            </w:pPr>
            <w:r w:rsidRPr="006A16D6">
              <w:rPr>
                <w:rFonts w:ascii="Calibri" w:eastAsia="Times New Roman" w:hAnsi="Calibri" w:cs="Times New Roman"/>
                <w:color w:val="000000"/>
                <w:sz w:val="22"/>
                <w:szCs w:val="22"/>
              </w:rPr>
              <w:t>Wellness</w:t>
            </w:r>
          </w:p>
        </w:tc>
        <w:tc>
          <w:tcPr>
            <w:tcW w:w="1170" w:type="dxa"/>
            <w:shd w:val="clear" w:color="auto" w:fill="auto"/>
            <w:noWrap/>
            <w:hideMark/>
          </w:tcPr>
          <w:p w14:paraId="1272062A" w14:textId="77777777" w:rsidR="008B1A24" w:rsidRPr="006A16D6" w:rsidRDefault="008B1A24" w:rsidP="00830BFD">
            <w:pPr>
              <w:rPr>
                <w:rFonts w:ascii="Calibri" w:eastAsia="Times New Roman" w:hAnsi="Calibri" w:cs="Times New Roman"/>
                <w:color w:val="000000"/>
                <w:sz w:val="22"/>
                <w:szCs w:val="22"/>
              </w:rPr>
            </w:pPr>
            <w:r w:rsidRPr="006A16D6">
              <w:rPr>
                <w:rFonts w:ascii="Calibri" w:eastAsia="Times New Roman" w:hAnsi="Calibri" w:cs="Times New Roman"/>
                <w:color w:val="000000"/>
                <w:sz w:val="22"/>
                <w:szCs w:val="22"/>
              </w:rPr>
              <w:t>5</w:t>
            </w:r>
          </w:p>
        </w:tc>
        <w:tc>
          <w:tcPr>
            <w:tcW w:w="1260" w:type="dxa"/>
            <w:shd w:val="clear" w:color="auto" w:fill="auto"/>
            <w:noWrap/>
            <w:hideMark/>
          </w:tcPr>
          <w:p w14:paraId="3B632FCE" w14:textId="77777777" w:rsidR="008B1A24" w:rsidRPr="006A16D6" w:rsidRDefault="008B1A24" w:rsidP="00830BFD">
            <w:pPr>
              <w:rPr>
                <w:rFonts w:ascii="Calibri" w:eastAsia="Times New Roman" w:hAnsi="Calibri" w:cs="Times New Roman"/>
                <w:color w:val="000000"/>
                <w:sz w:val="22"/>
                <w:szCs w:val="22"/>
              </w:rPr>
            </w:pPr>
            <w:r w:rsidRPr="006A16D6">
              <w:rPr>
                <w:rFonts w:ascii="Calibri" w:eastAsia="Times New Roman" w:hAnsi="Calibri" w:cs="Times New Roman"/>
                <w:color w:val="000000"/>
                <w:sz w:val="22"/>
                <w:szCs w:val="22"/>
              </w:rPr>
              <w:t>3</w:t>
            </w:r>
          </w:p>
        </w:tc>
        <w:tc>
          <w:tcPr>
            <w:tcW w:w="3325" w:type="dxa"/>
          </w:tcPr>
          <w:p w14:paraId="672DD4AA" w14:textId="77777777" w:rsidR="008B1A24" w:rsidRPr="006A16D6" w:rsidRDefault="008B1A24" w:rsidP="00830BFD">
            <w:pPr>
              <w:rPr>
                <w:rFonts w:ascii="Calibri" w:eastAsia="Times New Roman" w:hAnsi="Calibri" w:cs="Times New Roman"/>
                <w:color w:val="000000"/>
                <w:sz w:val="22"/>
                <w:szCs w:val="22"/>
              </w:rPr>
            </w:pPr>
            <w:r w:rsidRPr="00FE148A">
              <w:rPr>
                <w:rFonts w:ascii="Calibri" w:eastAsia="Times New Roman" w:hAnsi="Calibri" w:cs="Times New Roman"/>
                <w:color w:val="000000"/>
                <w:sz w:val="22"/>
                <w:szCs w:val="22"/>
              </w:rPr>
              <w:t>Loo</w:t>
            </w:r>
            <w:r>
              <w:rPr>
                <w:rFonts w:ascii="Calibri" w:eastAsia="Times New Roman" w:hAnsi="Calibri" w:cs="Times New Roman"/>
                <w:color w:val="000000"/>
                <w:sz w:val="22"/>
                <w:szCs w:val="22"/>
              </w:rPr>
              <w:t>k at streamlining the process (</w:t>
            </w:r>
            <w:r w:rsidRPr="00FE148A">
              <w:rPr>
                <w:rFonts w:ascii="Calibri" w:eastAsia="Times New Roman" w:hAnsi="Calibri" w:cs="Times New Roman"/>
                <w:color w:val="000000"/>
                <w:sz w:val="22"/>
                <w:szCs w:val="22"/>
              </w:rPr>
              <w:t>assume</w:t>
            </w:r>
            <w:r>
              <w:rPr>
                <w:rFonts w:ascii="Calibri" w:eastAsia="Times New Roman" w:hAnsi="Calibri" w:cs="Times New Roman"/>
                <w:color w:val="000000"/>
                <w:sz w:val="22"/>
                <w:szCs w:val="22"/>
              </w:rPr>
              <w:t>d</w:t>
            </w:r>
            <w:r w:rsidRPr="00FE148A">
              <w:rPr>
                <w:rFonts w:ascii="Calibri" w:eastAsia="Times New Roman" w:hAnsi="Calibri" w:cs="Times New Roman"/>
                <w:color w:val="000000"/>
                <w:sz w:val="22"/>
                <w:szCs w:val="22"/>
              </w:rPr>
              <w:t xml:space="preserve"> for rebates)</w:t>
            </w:r>
          </w:p>
        </w:tc>
      </w:tr>
      <w:tr w:rsidR="008B1A24" w:rsidRPr="006A16D6" w14:paraId="53638EAD" w14:textId="77777777" w:rsidTr="00830BFD">
        <w:trPr>
          <w:trHeight w:val="300"/>
        </w:trPr>
        <w:tc>
          <w:tcPr>
            <w:tcW w:w="3595" w:type="dxa"/>
            <w:shd w:val="clear" w:color="auto" w:fill="auto"/>
            <w:noWrap/>
            <w:hideMark/>
          </w:tcPr>
          <w:p w14:paraId="303CD396" w14:textId="77777777" w:rsidR="008B1A24" w:rsidRPr="006A16D6" w:rsidRDefault="008B1A24" w:rsidP="00830BFD">
            <w:pPr>
              <w:rPr>
                <w:rFonts w:ascii="Calibri" w:eastAsia="Times New Roman" w:hAnsi="Calibri" w:cs="Times New Roman"/>
                <w:color w:val="000000"/>
                <w:sz w:val="22"/>
                <w:szCs w:val="22"/>
              </w:rPr>
            </w:pPr>
            <w:r w:rsidRPr="006A16D6">
              <w:rPr>
                <w:rFonts w:ascii="Calibri" w:eastAsia="Times New Roman" w:hAnsi="Calibri" w:cs="Times New Roman"/>
                <w:color w:val="000000"/>
                <w:sz w:val="22"/>
                <w:szCs w:val="22"/>
              </w:rPr>
              <w:t>Season tickets</w:t>
            </w:r>
          </w:p>
        </w:tc>
        <w:tc>
          <w:tcPr>
            <w:tcW w:w="1170" w:type="dxa"/>
            <w:shd w:val="clear" w:color="auto" w:fill="auto"/>
            <w:noWrap/>
            <w:hideMark/>
          </w:tcPr>
          <w:p w14:paraId="288DF650" w14:textId="77777777" w:rsidR="008B1A24" w:rsidRPr="006A16D6" w:rsidRDefault="008B1A24" w:rsidP="00830BFD">
            <w:pPr>
              <w:rPr>
                <w:rFonts w:ascii="Calibri" w:eastAsia="Times New Roman" w:hAnsi="Calibri" w:cs="Times New Roman"/>
                <w:color w:val="000000"/>
                <w:sz w:val="22"/>
                <w:szCs w:val="22"/>
              </w:rPr>
            </w:pPr>
            <w:r w:rsidRPr="006A16D6">
              <w:rPr>
                <w:rFonts w:ascii="Calibri" w:eastAsia="Times New Roman" w:hAnsi="Calibri" w:cs="Times New Roman"/>
                <w:color w:val="000000"/>
                <w:sz w:val="22"/>
                <w:szCs w:val="22"/>
              </w:rPr>
              <w:t>3</w:t>
            </w:r>
          </w:p>
        </w:tc>
        <w:tc>
          <w:tcPr>
            <w:tcW w:w="1260" w:type="dxa"/>
            <w:shd w:val="clear" w:color="auto" w:fill="auto"/>
            <w:noWrap/>
            <w:hideMark/>
          </w:tcPr>
          <w:p w14:paraId="692F2637" w14:textId="77777777" w:rsidR="008B1A24" w:rsidRPr="006A16D6" w:rsidRDefault="008B1A24" w:rsidP="00830BFD">
            <w:pPr>
              <w:rPr>
                <w:rFonts w:ascii="Calibri" w:eastAsia="Times New Roman" w:hAnsi="Calibri" w:cs="Times New Roman"/>
                <w:color w:val="000000"/>
                <w:sz w:val="22"/>
                <w:szCs w:val="22"/>
              </w:rPr>
            </w:pPr>
            <w:r w:rsidRPr="006A16D6">
              <w:rPr>
                <w:rFonts w:ascii="Calibri" w:eastAsia="Times New Roman" w:hAnsi="Calibri" w:cs="Times New Roman"/>
                <w:color w:val="000000"/>
                <w:sz w:val="22"/>
                <w:szCs w:val="22"/>
              </w:rPr>
              <w:t>2</w:t>
            </w:r>
          </w:p>
        </w:tc>
        <w:tc>
          <w:tcPr>
            <w:tcW w:w="3325" w:type="dxa"/>
          </w:tcPr>
          <w:p w14:paraId="50D9ECF0" w14:textId="77777777" w:rsidR="008B1A24" w:rsidRPr="006A16D6" w:rsidRDefault="008B1A24" w:rsidP="00830BFD">
            <w:pPr>
              <w:rPr>
                <w:rFonts w:ascii="Calibri" w:eastAsia="Times New Roman" w:hAnsi="Calibri" w:cs="Times New Roman"/>
                <w:color w:val="000000"/>
                <w:sz w:val="22"/>
                <w:szCs w:val="22"/>
              </w:rPr>
            </w:pPr>
            <w:r w:rsidRPr="00FE148A">
              <w:rPr>
                <w:rFonts w:ascii="Calibri" w:eastAsia="Times New Roman" w:hAnsi="Calibri" w:cs="Times New Roman"/>
                <w:color w:val="000000"/>
                <w:sz w:val="22"/>
                <w:szCs w:val="22"/>
              </w:rPr>
              <w:t>Program appreciated, choice and quality of tickets as well as administration were brought up</w:t>
            </w:r>
          </w:p>
        </w:tc>
      </w:tr>
      <w:tr w:rsidR="008B1A24" w:rsidRPr="006A16D6" w14:paraId="06A2686E" w14:textId="77777777" w:rsidTr="00830BFD">
        <w:trPr>
          <w:trHeight w:val="300"/>
        </w:trPr>
        <w:tc>
          <w:tcPr>
            <w:tcW w:w="3595" w:type="dxa"/>
            <w:shd w:val="clear" w:color="auto" w:fill="auto"/>
            <w:noWrap/>
            <w:hideMark/>
          </w:tcPr>
          <w:p w14:paraId="2D65545F" w14:textId="77777777" w:rsidR="008B1A24" w:rsidRPr="006A16D6" w:rsidRDefault="008B1A24" w:rsidP="00830BFD">
            <w:pPr>
              <w:rPr>
                <w:rFonts w:ascii="Calibri" w:eastAsia="Times New Roman" w:hAnsi="Calibri" w:cs="Times New Roman"/>
                <w:color w:val="000000"/>
                <w:sz w:val="22"/>
                <w:szCs w:val="22"/>
              </w:rPr>
            </w:pPr>
            <w:r w:rsidRPr="006A16D6">
              <w:rPr>
                <w:rFonts w:ascii="Calibri" w:eastAsia="Times New Roman" w:hAnsi="Calibri" w:cs="Times New Roman"/>
                <w:color w:val="000000"/>
                <w:sz w:val="22"/>
                <w:szCs w:val="22"/>
              </w:rPr>
              <w:t>Tuition benefits</w:t>
            </w:r>
          </w:p>
        </w:tc>
        <w:tc>
          <w:tcPr>
            <w:tcW w:w="1170" w:type="dxa"/>
            <w:shd w:val="clear" w:color="auto" w:fill="auto"/>
            <w:noWrap/>
            <w:hideMark/>
          </w:tcPr>
          <w:p w14:paraId="23628BF7" w14:textId="77777777" w:rsidR="008B1A24" w:rsidRPr="006A16D6" w:rsidRDefault="008B1A24" w:rsidP="00830BFD">
            <w:pPr>
              <w:rPr>
                <w:rFonts w:ascii="Calibri" w:eastAsia="Times New Roman" w:hAnsi="Calibri" w:cs="Times New Roman"/>
                <w:color w:val="000000"/>
                <w:sz w:val="22"/>
                <w:szCs w:val="22"/>
              </w:rPr>
            </w:pPr>
            <w:r w:rsidRPr="006A16D6">
              <w:rPr>
                <w:rFonts w:ascii="Calibri" w:eastAsia="Times New Roman" w:hAnsi="Calibri" w:cs="Times New Roman"/>
                <w:color w:val="000000"/>
                <w:sz w:val="22"/>
                <w:szCs w:val="22"/>
              </w:rPr>
              <w:t>3</w:t>
            </w:r>
          </w:p>
        </w:tc>
        <w:tc>
          <w:tcPr>
            <w:tcW w:w="1260" w:type="dxa"/>
            <w:shd w:val="clear" w:color="auto" w:fill="auto"/>
            <w:noWrap/>
            <w:hideMark/>
          </w:tcPr>
          <w:p w14:paraId="16A05933" w14:textId="77777777" w:rsidR="008B1A24" w:rsidRPr="006A16D6" w:rsidRDefault="008B1A24" w:rsidP="00830BFD">
            <w:pPr>
              <w:rPr>
                <w:rFonts w:ascii="Calibri" w:eastAsia="Times New Roman" w:hAnsi="Calibri" w:cs="Times New Roman"/>
                <w:color w:val="000000"/>
                <w:sz w:val="22"/>
                <w:szCs w:val="22"/>
              </w:rPr>
            </w:pPr>
          </w:p>
        </w:tc>
        <w:tc>
          <w:tcPr>
            <w:tcW w:w="3325" w:type="dxa"/>
          </w:tcPr>
          <w:p w14:paraId="208AC488" w14:textId="77777777" w:rsidR="008B1A24" w:rsidRPr="006A16D6" w:rsidRDefault="008B1A24" w:rsidP="00830BFD">
            <w:pPr>
              <w:rPr>
                <w:rFonts w:ascii="Calibri" w:eastAsia="Times New Roman" w:hAnsi="Calibri" w:cs="Times New Roman"/>
                <w:color w:val="000000"/>
                <w:sz w:val="22"/>
                <w:szCs w:val="22"/>
              </w:rPr>
            </w:pPr>
            <w:r w:rsidRPr="00FE148A">
              <w:rPr>
                <w:rFonts w:ascii="Calibri" w:eastAsia="Times New Roman" w:hAnsi="Calibri" w:cs="Times New Roman"/>
                <w:color w:val="000000"/>
                <w:sz w:val="22"/>
                <w:szCs w:val="22"/>
              </w:rPr>
              <w:t>Include student fees as well as tuition discount</w:t>
            </w:r>
          </w:p>
        </w:tc>
      </w:tr>
      <w:tr w:rsidR="008B1A24" w:rsidRPr="006A16D6" w14:paraId="2AEA4DB7" w14:textId="77777777" w:rsidTr="00830BFD">
        <w:trPr>
          <w:trHeight w:val="318"/>
        </w:trPr>
        <w:tc>
          <w:tcPr>
            <w:tcW w:w="3595" w:type="dxa"/>
            <w:shd w:val="clear" w:color="auto" w:fill="auto"/>
            <w:hideMark/>
          </w:tcPr>
          <w:p w14:paraId="1F8D0154" w14:textId="77777777" w:rsidR="008B1A24" w:rsidRPr="006A16D6" w:rsidRDefault="008B1A24" w:rsidP="00830BFD">
            <w:pPr>
              <w:rPr>
                <w:rFonts w:ascii="Calibri" w:eastAsia="Times New Roman" w:hAnsi="Calibri" w:cs="Times New Roman"/>
                <w:color w:val="000000"/>
                <w:sz w:val="22"/>
                <w:szCs w:val="22"/>
              </w:rPr>
            </w:pPr>
            <w:r w:rsidRPr="006A16D6">
              <w:rPr>
                <w:rFonts w:ascii="Calibri" w:eastAsia="Times New Roman" w:hAnsi="Calibri" w:cs="Times New Roman"/>
                <w:color w:val="000000"/>
                <w:sz w:val="22"/>
                <w:szCs w:val="22"/>
              </w:rPr>
              <w:t xml:space="preserve">Home and auto insurance discounts </w:t>
            </w:r>
          </w:p>
        </w:tc>
        <w:tc>
          <w:tcPr>
            <w:tcW w:w="1170" w:type="dxa"/>
            <w:shd w:val="clear" w:color="auto" w:fill="auto"/>
            <w:noWrap/>
            <w:hideMark/>
          </w:tcPr>
          <w:p w14:paraId="7F78C449" w14:textId="77777777" w:rsidR="008B1A24" w:rsidRPr="006A16D6" w:rsidRDefault="008B1A24" w:rsidP="00830BFD">
            <w:pPr>
              <w:rPr>
                <w:rFonts w:ascii="Calibri" w:eastAsia="Times New Roman" w:hAnsi="Calibri" w:cs="Times New Roman"/>
                <w:color w:val="000000"/>
                <w:sz w:val="22"/>
                <w:szCs w:val="22"/>
              </w:rPr>
            </w:pPr>
          </w:p>
        </w:tc>
        <w:tc>
          <w:tcPr>
            <w:tcW w:w="1260" w:type="dxa"/>
            <w:shd w:val="clear" w:color="auto" w:fill="auto"/>
            <w:noWrap/>
            <w:hideMark/>
          </w:tcPr>
          <w:p w14:paraId="570F1D61" w14:textId="77777777" w:rsidR="008B1A24" w:rsidRPr="006A16D6" w:rsidRDefault="008B1A24" w:rsidP="00830BFD">
            <w:pPr>
              <w:rPr>
                <w:rFonts w:ascii="Calibri" w:eastAsia="Times New Roman" w:hAnsi="Calibri" w:cs="Times New Roman"/>
                <w:color w:val="000000"/>
                <w:sz w:val="22"/>
                <w:szCs w:val="22"/>
              </w:rPr>
            </w:pPr>
            <w:r w:rsidRPr="006A16D6">
              <w:rPr>
                <w:rFonts w:ascii="Calibri" w:eastAsia="Times New Roman" w:hAnsi="Calibri" w:cs="Times New Roman"/>
                <w:color w:val="000000"/>
                <w:sz w:val="22"/>
                <w:szCs w:val="22"/>
              </w:rPr>
              <w:t>2</w:t>
            </w:r>
          </w:p>
        </w:tc>
        <w:tc>
          <w:tcPr>
            <w:tcW w:w="3325" w:type="dxa"/>
          </w:tcPr>
          <w:p w14:paraId="79E6EBA0" w14:textId="77777777" w:rsidR="008B1A24" w:rsidRPr="006A16D6" w:rsidRDefault="008B1A24" w:rsidP="00830BFD">
            <w:pPr>
              <w:rPr>
                <w:rFonts w:ascii="Calibri" w:eastAsia="Times New Roman" w:hAnsi="Calibri" w:cs="Times New Roman"/>
                <w:color w:val="000000"/>
                <w:sz w:val="22"/>
                <w:szCs w:val="22"/>
              </w:rPr>
            </w:pPr>
            <w:r w:rsidRPr="00FE148A">
              <w:rPr>
                <w:rFonts w:ascii="Calibri" w:eastAsia="Times New Roman" w:hAnsi="Calibri" w:cs="Times New Roman"/>
                <w:color w:val="000000"/>
                <w:sz w:val="22"/>
                <w:szCs w:val="22"/>
              </w:rPr>
              <w:t>May not be needed as a benefit if there are institutional cost for the provision</w:t>
            </w:r>
          </w:p>
        </w:tc>
      </w:tr>
      <w:tr w:rsidR="008B1A24" w:rsidRPr="006A16D6" w14:paraId="43A4A90E" w14:textId="77777777" w:rsidTr="00830BFD">
        <w:trPr>
          <w:trHeight w:val="309"/>
        </w:trPr>
        <w:tc>
          <w:tcPr>
            <w:tcW w:w="3595" w:type="dxa"/>
            <w:shd w:val="clear" w:color="auto" w:fill="auto"/>
            <w:hideMark/>
          </w:tcPr>
          <w:p w14:paraId="79B4313B" w14:textId="77777777" w:rsidR="008B1A24" w:rsidRPr="006A16D6" w:rsidRDefault="008B1A24" w:rsidP="00830BFD">
            <w:pPr>
              <w:rPr>
                <w:rFonts w:ascii="Calibri" w:eastAsia="Times New Roman" w:hAnsi="Calibri" w:cs="Times New Roman"/>
                <w:color w:val="000000"/>
                <w:sz w:val="22"/>
                <w:szCs w:val="22"/>
              </w:rPr>
            </w:pPr>
            <w:r w:rsidRPr="006A16D6">
              <w:rPr>
                <w:rFonts w:ascii="Calibri" w:eastAsia="Times New Roman" w:hAnsi="Calibri" w:cs="Times New Roman"/>
                <w:color w:val="000000"/>
                <w:sz w:val="22"/>
                <w:szCs w:val="22"/>
              </w:rPr>
              <w:t xml:space="preserve">Primary/secondary health insurance through </w:t>
            </w:r>
            <w:proofErr w:type="spellStart"/>
            <w:r w:rsidRPr="006A16D6">
              <w:rPr>
                <w:rFonts w:ascii="Calibri" w:eastAsia="Times New Roman" w:hAnsi="Calibri" w:cs="Times New Roman"/>
                <w:color w:val="000000"/>
                <w:sz w:val="22"/>
                <w:szCs w:val="22"/>
              </w:rPr>
              <w:t>PEHP</w:t>
            </w:r>
            <w:proofErr w:type="spellEnd"/>
          </w:p>
        </w:tc>
        <w:tc>
          <w:tcPr>
            <w:tcW w:w="1170" w:type="dxa"/>
            <w:shd w:val="clear" w:color="auto" w:fill="auto"/>
            <w:noWrap/>
            <w:hideMark/>
          </w:tcPr>
          <w:p w14:paraId="10D196C7" w14:textId="77777777" w:rsidR="008B1A24" w:rsidRPr="006A16D6" w:rsidRDefault="008B1A24" w:rsidP="00830BFD">
            <w:pPr>
              <w:rPr>
                <w:rFonts w:ascii="Calibri" w:eastAsia="Times New Roman" w:hAnsi="Calibri" w:cs="Times New Roman"/>
                <w:color w:val="000000"/>
                <w:sz w:val="22"/>
                <w:szCs w:val="22"/>
              </w:rPr>
            </w:pPr>
          </w:p>
        </w:tc>
        <w:tc>
          <w:tcPr>
            <w:tcW w:w="1260" w:type="dxa"/>
            <w:shd w:val="clear" w:color="auto" w:fill="auto"/>
            <w:noWrap/>
            <w:hideMark/>
          </w:tcPr>
          <w:p w14:paraId="53920AF6" w14:textId="77777777" w:rsidR="008B1A24" w:rsidRPr="006A16D6" w:rsidRDefault="008B1A24" w:rsidP="00830BFD">
            <w:pPr>
              <w:rPr>
                <w:rFonts w:ascii="Calibri" w:eastAsia="Times New Roman" w:hAnsi="Calibri" w:cs="Times New Roman"/>
                <w:color w:val="000000"/>
                <w:sz w:val="22"/>
                <w:szCs w:val="22"/>
              </w:rPr>
            </w:pPr>
            <w:r w:rsidRPr="006A16D6">
              <w:rPr>
                <w:rFonts w:ascii="Calibri" w:eastAsia="Times New Roman" w:hAnsi="Calibri" w:cs="Times New Roman"/>
                <w:color w:val="000000"/>
                <w:sz w:val="22"/>
                <w:szCs w:val="22"/>
              </w:rPr>
              <w:t>2</w:t>
            </w:r>
          </w:p>
        </w:tc>
        <w:tc>
          <w:tcPr>
            <w:tcW w:w="3325" w:type="dxa"/>
          </w:tcPr>
          <w:p w14:paraId="24BB61D3" w14:textId="77777777" w:rsidR="008B1A24" w:rsidRPr="006A16D6" w:rsidRDefault="008B1A24" w:rsidP="00830BFD">
            <w:pPr>
              <w:rPr>
                <w:rFonts w:ascii="Calibri" w:eastAsia="Times New Roman" w:hAnsi="Calibri" w:cs="Times New Roman"/>
                <w:color w:val="000000"/>
                <w:sz w:val="22"/>
                <w:szCs w:val="22"/>
              </w:rPr>
            </w:pPr>
            <w:r w:rsidRPr="00FE148A">
              <w:rPr>
                <w:rFonts w:ascii="Calibri" w:eastAsia="Times New Roman" w:hAnsi="Calibri" w:cs="Times New Roman"/>
                <w:color w:val="000000"/>
                <w:sz w:val="22"/>
                <w:szCs w:val="22"/>
              </w:rPr>
              <w:t>Make reimbursement with double coverage easier (Express Script)</w:t>
            </w:r>
          </w:p>
        </w:tc>
      </w:tr>
      <w:tr w:rsidR="008B1A24" w:rsidRPr="006A16D6" w14:paraId="7B4AD181" w14:textId="77777777" w:rsidTr="00830BFD">
        <w:trPr>
          <w:trHeight w:val="309"/>
        </w:trPr>
        <w:tc>
          <w:tcPr>
            <w:tcW w:w="3595" w:type="dxa"/>
            <w:shd w:val="clear" w:color="auto" w:fill="auto"/>
          </w:tcPr>
          <w:p w14:paraId="1EF649EA" w14:textId="77777777" w:rsidR="008B1A24" w:rsidRPr="006A16D6" w:rsidRDefault="008B1A24" w:rsidP="00830BFD">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Other Comments</w:t>
            </w:r>
          </w:p>
        </w:tc>
        <w:tc>
          <w:tcPr>
            <w:tcW w:w="1170" w:type="dxa"/>
            <w:shd w:val="clear" w:color="auto" w:fill="auto"/>
            <w:noWrap/>
          </w:tcPr>
          <w:p w14:paraId="697E68F4" w14:textId="77777777" w:rsidR="008B1A24" w:rsidRPr="006A16D6" w:rsidRDefault="008B1A24" w:rsidP="00830BFD">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20</w:t>
            </w:r>
          </w:p>
        </w:tc>
        <w:tc>
          <w:tcPr>
            <w:tcW w:w="1260" w:type="dxa"/>
            <w:shd w:val="clear" w:color="auto" w:fill="auto"/>
            <w:noWrap/>
          </w:tcPr>
          <w:p w14:paraId="318D3567" w14:textId="77777777" w:rsidR="008B1A24" w:rsidRPr="006A16D6" w:rsidRDefault="008B1A24" w:rsidP="00830BFD">
            <w:pPr>
              <w:rPr>
                <w:rFonts w:ascii="Calibri" w:eastAsia="Times New Roman" w:hAnsi="Calibri" w:cs="Times New Roman"/>
                <w:color w:val="000000"/>
                <w:sz w:val="22"/>
                <w:szCs w:val="22"/>
              </w:rPr>
            </w:pPr>
          </w:p>
        </w:tc>
        <w:tc>
          <w:tcPr>
            <w:tcW w:w="3325" w:type="dxa"/>
          </w:tcPr>
          <w:p w14:paraId="11468551" w14:textId="77777777" w:rsidR="008B1A24" w:rsidRDefault="008B1A24" w:rsidP="00830BFD">
            <w:pPr>
              <w:rPr>
                <w:rFonts w:ascii="Calibri" w:eastAsia="Times New Roman" w:hAnsi="Calibri" w:cs="Times New Roman"/>
                <w:color w:val="000000"/>
                <w:sz w:val="22"/>
                <w:szCs w:val="22"/>
              </w:rPr>
            </w:pPr>
            <w:r w:rsidRPr="00FE148A">
              <w:rPr>
                <w:rFonts w:ascii="Calibri" w:eastAsia="Times New Roman" w:hAnsi="Calibri" w:cs="Times New Roman"/>
                <w:color w:val="000000"/>
                <w:sz w:val="22"/>
                <w:szCs w:val="22"/>
              </w:rPr>
              <w:t>Consider providing more/different information about the benefits package - HR website?</w:t>
            </w:r>
          </w:p>
          <w:p w14:paraId="5975202F" w14:textId="77777777" w:rsidR="008B1A24" w:rsidRDefault="008B1A24" w:rsidP="00830BFD">
            <w:pPr>
              <w:rPr>
                <w:rFonts w:ascii="Calibri" w:eastAsia="Times New Roman" w:hAnsi="Calibri" w:cs="Times New Roman"/>
                <w:color w:val="000000"/>
                <w:sz w:val="22"/>
                <w:szCs w:val="22"/>
              </w:rPr>
            </w:pPr>
          </w:p>
          <w:p w14:paraId="7D6087E8" w14:textId="77777777" w:rsidR="008B1A24" w:rsidRPr="00FE148A" w:rsidRDefault="008B1A24" w:rsidP="00830BFD">
            <w:pPr>
              <w:rPr>
                <w:rFonts w:ascii="Calibri" w:eastAsia="Times New Roman" w:hAnsi="Calibri" w:cs="Times New Roman"/>
                <w:color w:val="000000"/>
                <w:sz w:val="22"/>
                <w:szCs w:val="22"/>
              </w:rPr>
            </w:pPr>
            <w:r w:rsidRPr="00FE148A">
              <w:rPr>
                <w:rFonts w:ascii="Calibri" w:eastAsia="Times New Roman" w:hAnsi="Calibri" w:cs="Times New Roman"/>
                <w:color w:val="000000"/>
                <w:sz w:val="22"/>
                <w:szCs w:val="22"/>
              </w:rPr>
              <w:t xml:space="preserve">Balance of positive comments about health insurance package and a few very specific complaints in dealing with </w:t>
            </w:r>
            <w:proofErr w:type="spellStart"/>
            <w:r w:rsidRPr="00FE148A">
              <w:rPr>
                <w:rFonts w:ascii="Calibri" w:eastAsia="Times New Roman" w:hAnsi="Calibri" w:cs="Times New Roman"/>
                <w:color w:val="000000"/>
                <w:sz w:val="22"/>
                <w:szCs w:val="22"/>
              </w:rPr>
              <w:t>PEHP</w:t>
            </w:r>
            <w:proofErr w:type="spellEnd"/>
          </w:p>
        </w:tc>
      </w:tr>
      <w:tr w:rsidR="008B1A24" w:rsidRPr="006A16D6" w14:paraId="29C40F63" w14:textId="77777777" w:rsidTr="00830BFD">
        <w:trPr>
          <w:trHeight w:val="300"/>
        </w:trPr>
        <w:tc>
          <w:tcPr>
            <w:tcW w:w="3595" w:type="dxa"/>
            <w:shd w:val="clear" w:color="auto" w:fill="auto"/>
            <w:noWrap/>
            <w:hideMark/>
          </w:tcPr>
          <w:p w14:paraId="00543662" w14:textId="77777777" w:rsidR="008B1A24" w:rsidRPr="006A16D6" w:rsidRDefault="008B1A24" w:rsidP="00830BFD">
            <w:pPr>
              <w:rPr>
                <w:rFonts w:ascii="Calibri" w:eastAsia="Times New Roman" w:hAnsi="Calibri" w:cs="Times New Roman"/>
                <w:color w:val="000000"/>
                <w:sz w:val="22"/>
                <w:szCs w:val="22"/>
              </w:rPr>
            </w:pPr>
            <w:r w:rsidRPr="006A16D6">
              <w:rPr>
                <w:rFonts w:ascii="Calibri" w:eastAsia="Times New Roman" w:hAnsi="Calibri" w:cs="Times New Roman"/>
                <w:color w:val="000000"/>
                <w:sz w:val="22"/>
                <w:szCs w:val="22"/>
              </w:rPr>
              <w:lastRenderedPageBreak/>
              <w:t xml:space="preserve">Total Comments = 100 </w:t>
            </w:r>
          </w:p>
        </w:tc>
        <w:tc>
          <w:tcPr>
            <w:tcW w:w="1170" w:type="dxa"/>
            <w:shd w:val="clear" w:color="auto" w:fill="auto"/>
            <w:noWrap/>
            <w:hideMark/>
          </w:tcPr>
          <w:p w14:paraId="39B6EC19" w14:textId="77777777" w:rsidR="008B1A24" w:rsidRPr="006A16D6" w:rsidRDefault="008B1A24" w:rsidP="00830BFD">
            <w:pPr>
              <w:rPr>
                <w:rFonts w:ascii="Calibri" w:eastAsia="Times New Roman" w:hAnsi="Calibri" w:cs="Times New Roman"/>
                <w:color w:val="000000"/>
                <w:sz w:val="22"/>
                <w:szCs w:val="22"/>
              </w:rPr>
            </w:pPr>
          </w:p>
        </w:tc>
        <w:tc>
          <w:tcPr>
            <w:tcW w:w="1260" w:type="dxa"/>
            <w:shd w:val="clear" w:color="auto" w:fill="auto"/>
            <w:noWrap/>
            <w:hideMark/>
          </w:tcPr>
          <w:p w14:paraId="398C5227" w14:textId="77777777" w:rsidR="008B1A24" w:rsidRPr="006A16D6" w:rsidRDefault="008B1A24" w:rsidP="00830BFD">
            <w:pPr>
              <w:rPr>
                <w:rFonts w:ascii="Times New Roman" w:eastAsia="Times New Roman" w:hAnsi="Times New Roman" w:cs="Times New Roman"/>
                <w:sz w:val="20"/>
                <w:szCs w:val="20"/>
              </w:rPr>
            </w:pPr>
          </w:p>
        </w:tc>
        <w:tc>
          <w:tcPr>
            <w:tcW w:w="3325" w:type="dxa"/>
          </w:tcPr>
          <w:p w14:paraId="57386694" w14:textId="77777777" w:rsidR="008B1A24" w:rsidRPr="006A16D6" w:rsidRDefault="008B1A24" w:rsidP="00830BFD">
            <w:pPr>
              <w:rPr>
                <w:rFonts w:ascii="Times New Roman" w:eastAsia="Times New Roman" w:hAnsi="Times New Roman" w:cs="Times New Roman"/>
                <w:sz w:val="20"/>
                <w:szCs w:val="20"/>
              </w:rPr>
            </w:pPr>
          </w:p>
        </w:tc>
      </w:tr>
    </w:tbl>
    <w:p w14:paraId="67C378D2" w14:textId="77777777" w:rsidR="008B1A24" w:rsidRDefault="008B1A24"/>
    <w:p w14:paraId="18F41845" w14:textId="0814DDE0" w:rsidR="00E500D5" w:rsidRPr="006F2BE6" w:rsidRDefault="00E500D5">
      <w:pPr>
        <w:rPr>
          <w:b/>
          <w:color w:val="000000" w:themeColor="text1"/>
        </w:rPr>
      </w:pPr>
      <w:r w:rsidRPr="006F2BE6">
        <w:rPr>
          <w:b/>
        </w:rPr>
        <w:t xml:space="preserve">Report on Charge 6 - </w:t>
      </w:r>
      <w:r w:rsidRPr="006F2BE6">
        <w:rPr>
          <w:b/>
          <w:color w:val="000000" w:themeColor="text1"/>
        </w:rPr>
        <w:t>Develop a strategic approach to address compression and inversion in salaries.</w:t>
      </w:r>
    </w:p>
    <w:p w14:paraId="0E8E7FB6" w14:textId="77777777" w:rsidR="00A23B26" w:rsidRDefault="00A23B26" w:rsidP="00A23B26">
      <w:pPr>
        <w:pStyle w:val="NoSpacing"/>
        <w:tabs>
          <w:tab w:val="left" w:pos="360"/>
          <w:tab w:val="left" w:pos="720"/>
        </w:tabs>
        <w:ind w:right="-360"/>
        <w:rPr>
          <w:rFonts w:cs="Times New Roman"/>
          <w:sz w:val="24"/>
          <w:szCs w:val="24"/>
        </w:rPr>
      </w:pPr>
    </w:p>
    <w:p w14:paraId="0BC62AD5" w14:textId="61F470AF" w:rsidR="00A23B26" w:rsidRDefault="00A23B26" w:rsidP="00A23B26">
      <w:pPr>
        <w:pStyle w:val="NoSpacing"/>
        <w:tabs>
          <w:tab w:val="left" w:pos="360"/>
          <w:tab w:val="left" w:pos="720"/>
        </w:tabs>
        <w:ind w:right="-360"/>
        <w:rPr>
          <w:rFonts w:cs="Times New Roman"/>
          <w:sz w:val="24"/>
          <w:szCs w:val="24"/>
        </w:rPr>
      </w:pPr>
      <w:r>
        <w:rPr>
          <w:rFonts w:cs="Times New Roman"/>
          <w:sz w:val="24"/>
          <w:szCs w:val="24"/>
        </w:rPr>
        <w:t>Salary inversion can be defined in many ways and findings about the severity of salary inversion will depend on the chosen definition.  The committee chose a simplistic definition of salary inversion as a starting point for its investigation.  Under this definition, salary inversion exists when the nine-month FTE salary of a faculty member of lower rank is higher than the nine-month FTE salary of a faculty member of higher rank.  Note that this basic definition does not take into account differences in academic degree, years of service, etc.</w:t>
      </w:r>
    </w:p>
    <w:p w14:paraId="4C65EC51" w14:textId="77777777" w:rsidR="00A23B26" w:rsidRDefault="00A23B26" w:rsidP="00A23B26">
      <w:pPr>
        <w:pStyle w:val="NoSpacing"/>
        <w:tabs>
          <w:tab w:val="left" w:pos="360"/>
          <w:tab w:val="left" w:pos="720"/>
        </w:tabs>
        <w:ind w:right="-360"/>
        <w:rPr>
          <w:rFonts w:cs="Times New Roman"/>
          <w:sz w:val="24"/>
          <w:szCs w:val="24"/>
        </w:rPr>
      </w:pPr>
    </w:p>
    <w:p w14:paraId="7D27CF71" w14:textId="77777777" w:rsidR="00A23B26" w:rsidRDefault="00A23B26" w:rsidP="00A23B26">
      <w:pPr>
        <w:pStyle w:val="NoSpacing"/>
        <w:tabs>
          <w:tab w:val="left" w:pos="360"/>
          <w:tab w:val="left" w:pos="720"/>
        </w:tabs>
        <w:ind w:right="-360"/>
        <w:rPr>
          <w:rFonts w:cs="Times New Roman"/>
          <w:sz w:val="24"/>
          <w:szCs w:val="24"/>
        </w:rPr>
      </w:pPr>
      <w:r>
        <w:rPr>
          <w:rFonts w:cs="Times New Roman"/>
          <w:sz w:val="24"/>
          <w:szCs w:val="24"/>
        </w:rPr>
        <w:t>Using data from the 2017 equity model available through the eWeber Portal (Faculty Dashboard), the committee finds that 74 faculty members in 16 departments experience salary inversion (14.3% of all faculty members).  The total amount of salary inversion measured under the basic definition is $807,729.</w:t>
      </w:r>
    </w:p>
    <w:p w14:paraId="7B4E1117" w14:textId="77777777" w:rsidR="00A23B26" w:rsidRDefault="00A23B26" w:rsidP="00A23B26">
      <w:pPr>
        <w:pStyle w:val="NoSpacing"/>
        <w:tabs>
          <w:tab w:val="left" w:pos="360"/>
          <w:tab w:val="left" w:pos="720"/>
        </w:tabs>
        <w:ind w:right="-360"/>
        <w:rPr>
          <w:rFonts w:cs="Times New Roman"/>
          <w:sz w:val="24"/>
          <w:szCs w:val="24"/>
        </w:rPr>
      </w:pPr>
    </w:p>
    <w:p w14:paraId="7CF2A70C" w14:textId="77777777" w:rsidR="00A23B26" w:rsidRDefault="00A23B26" w:rsidP="00A23B26">
      <w:pPr>
        <w:pStyle w:val="NoSpacing"/>
        <w:tabs>
          <w:tab w:val="left" w:pos="360"/>
          <w:tab w:val="left" w:pos="720"/>
        </w:tabs>
        <w:ind w:right="-360"/>
        <w:rPr>
          <w:rFonts w:cs="Times New Roman"/>
          <w:sz w:val="24"/>
          <w:szCs w:val="24"/>
        </w:rPr>
      </w:pPr>
      <w:r>
        <w:rPr>
          <w:rFonts w:cs="Times New Roman"/>
          <w:sz w:val="24"/>
          <w:szCs w:val="24"/>
        </w:rPr>
        <w:t>Since faculty members of higher rank are more likely to experience salary inversion as new faculty members are hired at current market rates, the committee also looked at salary inversion by rank.  Currently, there are 13 full professors who make less than faculty of lower rank in their respective departments.  The amount of this salary inversion is $243,872.</w:t>
      </w:r>
    </w:p>
    <w:p w14:paraId="03FF75C4" w14:textId="77777777" w:rsidR="00A23B26" w:rsidRDefault="00A23B26" w:rsidP="00A23B26">
      <w:pPr>
        <w:pStyle w:val="NoSpacing"/>
        <w:tabs>
          <w:tab w:val="left" w:pos="360"/>
          <w:tab w:val="left" w:pos="720"/>
        </w:tabs>
        <w:ind w:right="-360"/>
        <w:rPr>
          <w:rFonts w:cs="Times New Roman"/>
          <w:sz w:val="24"/>
          <w:szCs w:val="24"/>
        </w:rPr>
      </w:pPr>
    </w:p>
    <w:p w14:paraId="7A55A429" w14:textId="77777777" w:rsidR="00A23B26" w:rsidRDefault="00A23B26" w:rsidP="00A23B26">
      <w:pPr>
        <w:pStyle w:val="NoSpacing"/>
        <w:tabs>
          <w:tab w:val="left" w:pos="360"/>
          <w:tab w:val="left" w:pos="720"/>
        </w:tabs>
        <w:ind w:right="-360"/>
        <w:rPr>
          <w:rFonts w:cs="Times New Roman"/>
          <w:sz w:val="24"/>
          <w:szCs w:val="24"/>
        </w:rPr>
      </w:pPr>
      <w:r>
        <w:rPr>
          <w:rFonts w:cs="Times New Roman"/>
          <w:sz w:val="24"/>
          <w:szCs w:val="24"/>
        </w:rPr>
        <w:t xml:space="preserve">The recommendation of the Salary, Budget, Benefits, and Fiscal Planning Committee is to use the simple definition describe above to measure salary inversion over a period of several years to determine if inversion is increasing or decreasing, particularly among full professors.  The Committee recommends that instances where apparent inversion exists be shared with the Provost’s office for review with the corresponding deans and department chairs to determine if those instances are merited by specific circumstances or if they should be addressed by salary adjustments of those individuals that are inverted.  More sophisticated definitions of salary inversion and compression may also be considered in the future if warranted.  </w:t>
      </w:r>
    </w:p>
    <w:p w14:paraId="7B59B8F8" w14:textId="77777777" w:rsidR="00E500D5" w:rsidRDefault="00E500D5"/>
    <w:p w14:paraId="523DE070" w14:textId="2AD81A95" w:rsidR="00755D08" w:rsidRDefault="006F2BE6">
      <w:r w:rsidRPr="006F2BE6">
        <w:rPr>
          <w:b/>
        </w:rPr>
        <w:t>Report on Charge 8 - Review impact of low support staff salaries on faculty productivity.</w:t>
      </w:r>
    </w:p>
    <w:p w14:paraId="3F807D34" w14:textId="77777777" w:rsidR="00755D08" w:rsidRDefault="00755D08"/>
    <w:p w14:paraId="6877282B" w14:textId="77777777" w:rsidR="00755D08" w:rsidRDefault="00755D08" w:rsidP="00755D08">
      <w:r>
        <w:t>We find that there is little or no evidence that staff salaries are low, thus negating the premise of this charge.</w:t>
      </w:r>
    </w:p>
    <w:p w14:paraId="536CE36B" w14:textId="77777777" w:rsidR="00755D08" w:rsidRDefault="00755D08" w:rsidP="00755D08"/>
    <w:p w14:paraId="3E4CF0FB" w14:textId="77777777" w:rsidR="00755D08" w:rsidRDefault="00755D08" w:rsidP="00755D08">
      <w:r>
        <w:t xml:space="preserve">In 2015, Weber State engaged Sibson Consulting to examine the compensation program for exempt and non-exempt staff. They produced two findings that suggest that compensation for staff is consistent with our peer and competitor institutions. </w:t>
      </w:r>
    </w:p>
    <w:p w14:paraId="40E57DAE" w14:textId="77777777" w:rsidR="00755D08" w:rsidRDefault="00755D08" w:rsidP="00755D08"/>
    <w:p w14:paraId="28C5B496" w14:textId="1B35FF79" w:rsidR="00755D08" w:rsidRDefault="00755D08" w:rsidP="00755D08">
      <w:r>
        <w:t>First, while salaries are somewhat low, Weber State benefits are among the better packages offered among competitors and peers. When taking into account the value of those benefits, compensation is very competitive.  Often, benefits are the dominant attraction for potential employees to Weber State.</w:t>
      </w:r>
    </w:p>
    <w:p w14:paraId="135D5A76" w14:textId="77777777" w:rsidR="00755D08" w:rsidRDefault="00755D08" w:rsidP="00755D08"/>
    <w:p w14:paraId="43ADAB72" w14:textId="77777777" w:rsidR="00755D08" w:rsidRDefault="00755D08" w:rsidP="00755D08">
      <w:r>
        <w:t>Second, as part of their engagement, Sibson assisted in the establishment of a monitoring and assessment program for compensation and benefits for Weber State. This program is a detailed means by which Human Resources can monitor effectiveness of the university in attracting, hiring, and retaining employees.</w:t>
      </w:r>
    </w:p>
    <w:p w14:paraId="7F642B7E" w14:textId="77777777" w:rsidR="00755D08" w:rsidRDefault="00755D08" w:rsidP="00755D08"/>
    <w:p w14:paraId="7896FCCB" w14:textId="77777777" w:rsidR="00755D08" w:rsidRDefault="00755D08" w:rsidP="00755D08">
      <w:r>
        <w:t>Finally, we examined salary data of non-exempt staff for irregular differences among colleges. We specifically conducted this examination on behalf of the Dumke College of Health Professions in response to their belief that their staff salaries were low, resulting in an inability to retain staff. Again, we found no evidence that this is the case when comparing staff across colleges.</w:t>
      </w:r>
    </w:p>
    <w:p w14:paraId="3F4FFAC6" w14:textId="77777777" w:rsidR="00755D08" w:rsidRPr="00755D08" w:rsidRDefault="00755D08">
      <w:pPr>
        <w:rPr>
          <w:b/>
        </w:rPr>
      </w:pPr>
    </w:p>
    <w:sectPr w:rsidR="00755D08" w:rsidRPr="00755D08" w:rsidSect="00805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55"/>
    <w:rsid w:val="000B4270"/>
    <w:rsid w:val="000D4B8F"/>
    <w:rsid w:val="001630EA"/>
    <w:rsid w:val="001D2A0C"/>
    <w:rsid w:val="002635CF"/>
    <w:rsid w:val="00301ACE"/>
    <w:rsid w:val="00312BE5"/>
    <w:rsid w:val="003D6818"/>
    <w:rsid w:val="004F757A"/>
    <w:rsid w:val="005E679E"/>
    <w:rsid w:val="006F2BE6"/>
    <w:rsid w:val="006F63C4"/>
    <w:rsid w:val="006F6A89"/>
    <w:rsid w:val="0072318E"/>
    <w:rsid w:val="00755D08"/>
    <w:rsid w:val="00803380"/>
    <w:rsid w:val="00805E61"/>
    <w:rsid w:val="00807A51"/>
    <w:rsid w:val="008B1A24"/>
    <w:rsid w:val="00951555"/>
    <w:rsid w:val="00A016DB"/>
    <w:rsid w:val="00A1392C"/>
    <w:rsid w:val="00A23B26"/>
    <w:rsid w:val="00C56120"/>
    <w:rsid w:val="00E500D5"/>
    <w:rsid w:val="00EE34C9"/>
    <w:rsid w:val="00EF75DB"/>
    <w:rsid w:val="00F67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115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3B26"/>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Berghout</dc:creator>
  <cp:keywords/>
  <dc:description/>
  <cp:lastModifiedBy>Brenda Stockberger</cp:lastModifiedBy>
  <cp:revision>2</cp:revision>
  <dcterms:created xsi:type="dcterms:W3CDTF">2017-02-28T22:23:00Z</dcterms:created>
  <dcterms:modified xsi:type="dcterms:W3CDTF">2017-02-28T22:23:00Z</dcterms:modified>
</cp:coreProperties>
</file>