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56" w:rsidRPr="00E8107B" w:rsidRDefault="00422018" w:rsidP="00422018">
      <w:pPr>
        <w:jc w:val="center"/>
        <w:rPr>
          <w:b/>
          <w:sz w:val="20"/>
          <w:szCs w:val="20"/>
        </w:rPr>
      </w:pPr>
      <w:r w:rsidRPr="00E8107B">
        <w:rPr>
          <w:b/>
          <w:sz w:val="20"/>
          <w:szCs w:val="20"/>
        </w:rPr>
        <w:t>Response to CRAO charge Second Attempt</w:t>
      </w:r>
    </w:p>
    <w:tbl>
      <w:tblPr>
        <w:tblStyle w:val="TableGrid"/>
        <w:tblW w:w="10620" w:type="dxa"/>
        <w:tblInd w:w="-545" w:type="dxa"/>
        <w:tblLook w:val="04A0" w:firstRow="1" w:lastRow="0" w:firstColumn="1" w:lastColumn="0" w:noHBand="0" w:noVBand="1"/>
      </w:tblPr>
      <w:tblGrid>
        <w:gridCol w:w="2970"/>
        <w:gridCol w:w="3808"/>
        <w:gridCol w:w="3842"/>
      </w:tblGrid>
      <w:tr w:rsidR="00422018" w:rsidRPr="00E8107B" w:rsidTr="00E8107B">
        <w:tc>
          <w:tcPr>
            <w:tcW w:w="2970" w:type="dxa"/>
          </w:tcPr>
          <w:p w:rsidR="00422018" w:rsidRPr="00E8107B" w:rsidRDefault="00422018" w:rsidP="00422018">
            <w:pPr>
              <w:jc w:val="center"/>
              <w:rPr>
                <w:sz w:val="20"/>
                <w:szCs w:val="20"/>
              </w:rPr>
            </w:pPr>
          </w:p>
        </w:tc>
        <w:tc>
          <w:tcPr>
            <w:tcW w:w="3808" w:type="dxa"/>
          </w:tcPr>
          <w:p w:rsidR="00422018" w:rsidRPr="00E8107B" w:rsidRDefault="00422018" w:rsidP="00422018">
            <w:pPr>
              <w:jc w:val="center"/>
              <w:rPr>
                <w:sz w:val="20"/>
                <w:szCs w:val="20"/>
              </w:rPr>
            </w:pPr>
            <w:r w:rsidRPr="00E8107B">
              <w:rPr>
                <w:sz w:val="20"/>
                <w:szCs w:val="20"/>
              </w:rPr>
              <w:t>Yes</w:t>
            </w:r>
          </w:p>
        </w:tc>
        <w:tc>
          <w:tcPr>
            <w:tcW w:w="3842" w:type="dxa"/>
          </w:tcPr>
          <w:p w:rsidR="00422018" w:rsidRPr="00E8107B" w:rsidRDefault="00422018" w:rsidP="00422018">
            <w:pPr>
              <w:jc w:val="center"/>
              <w:rPr>
                <w:sz w:val="20"/>
                <w:szCs w:val="20"/>
              </w:rPr>
            </w:pPr>
            <w:r w:rsidRPr="00E8107B">
              <w:rPr>
                <w:sz w:val="20"/>
                <w:szCs w:val="20"/>
              </w:rPr>
              <w:t>No</w:t>
            </w:r>
          </w:p>
        </w:tc>
      </w:tr>
      <w:tr w:rsidR="00422018" w:rsidRPr="00E8107B" w:rsidTr="00E8107B">
        <w:tc>
          <w:tcPr>
            <w:tcW w:w="2970" w:type="dxa"/>
          </w:tcPr>
          <w:p w:rsidR="00422018" w:rsidRPr="00E8107B" w:rsidRDefault="00422018" w:rsidP="00422018">
            <w:pPr>
              <w:jc w:val="center"/>
              <w:rPr>
                <w:sz w:val="20"/>
                <w:szCs w:val="20"/>
              </w:rPr>
            </w:pPr>
            <w:r w:rsidRPr="00E8107B">
              <w:rPr>
                <w:sz w:val="20"/>
                <w:szCs w:val="20"/>
              </w:rPr>
              <w:t>Previous Request</w:t>
            </w:r>
          </w:p>
        </w:tc>
        <w:tc>
          <w:tcPr>
            <w:tcW w:w="3808" w:type="dxa"/>
          </w:tcPr>
          <w:p w:rsidR="00422018" w:rsidRPr="00E8107B" w:rsidRDefault="00422018" w:rsidP="00422018">
            <w:pPr>
              <w:jc w:val="center"/>
              <w:rPr>
                <w:sz w:val="20"/>
                <w:szCs w:val="20"/>
              </w:rPr>
            </w:pPr>
            <w:r w:rsidRPr="00E8107B">
              <w:rPr>
                <w:sz w:val="20"/>
                <w:szCs w:val="20"/>
              </w:rPr>
              <w:t>17</w:t>
            </w:r>
          </w:p>
        </w:tc>
        <w:tc>
          <w:tcPr>
            <w:tcW w:w="3842" w:type="dxa"/>
          </w:tcPr>
          <w:p w:rsidR="00422018" w:rsidRPr="00E8107B" w:rsidRDefault="00422018" w:rsidP="00422018">
            <w:pPr>
              <w:jc w:val="center"/>
              <w:rPr>
                <w:sz w:val="20"/>
                <w:szCs w:val="20"/>
              </w:rPr>
            </w:pPr>
            <w:r w:rsidRPr="00E8107B">
              <w:rPr>
                <w:sz w:val="20"/>
                <w:szCs w:val="20"/>
              </w:rPr>
              <w:t>5</w:t>
            </w:r>
          </w:p>
        </w:tc>
      </w:tr>
      <w:tr w:rsidR="00422018" w:rsidRPr="00E8107B" w:rsidTr="00E8107B">
        <w:tc>
          <w:tcPr>
            <w:tcW w:w="2970" w:type="dxa"/>
          </w:tcPr>
          <w:p w:rsidR="00422018" w:rsidRPr="00E8107B" w:rsidRDefault="00422018" w:rsidP="00422018">
            <w:pPr>
              <w:jc w:val="center"/>
              <w:rPr>
                <w:sz w:val="20"/>
                <w:szCs w:val="20"/>
              </w:rPr>
            </w:pPr>
            <w:r w:rsidRPr="00E8107B">
              <w:rPr>
                <w:sz w:val="20"/>
                <w:szCs w:val="20"/>
              </w:rPr>
              <w:t>This Request</w:t>
            </w:r>
          </w:p>
        </w:tc>
        <w:tc>
          <w:tcPr>
            <w:tcW w:w="3808" w:type="dxa"/>
          </w:tcPr>
          <w:p w:rsidR="00422018" w:rsidRPr="00E8107B" w:rsidRDefault="00422018" w:rsidP="00422018">
            <w:pPr>
              <w:jc w:val="center"/>
              <w:rPr>
                <w:sz w:val="20"/>
                <w:szCs w:val="20"/>
              </w:rPr>
            </w:pPr>
            <w:r w:rsidRPr="00E8107B">
              <w:rPr>
                <w:sz w:val="20"/>
                <w:szCs w:val="20"/>
              </w:rPr>
              <w:t>13</w:t>
            </w:r>
          </w:p>
        </w:tc>
        <w:tc>
          <w:tcPr>
            <w:tcW w:w="3842" w:type="dxa"/>
          </w:tcPr>
          <w:p w:rsidR="00422018" w:rsidRPr="00E8107B" w:rsidRDefault="00422018" w:rsidP="00422018">
            <w:pPr>
              <w:jc w:val="center"/>
              <w:rPr>
                <w:sz w:val="20"/>
                <w:szCs w:val="20"/>
              </w:rPr>
            </w:pPr>
            <w:r w:rsidRPr="00E8107B">
              <w:rPr>
                <w:sz w:val="20"/>
                <w:szCs w:val="20"/>
              </w:rPr>
              <w:t>0</w:t>
            </w:r>
          </w:p>
        </w:tc>
      </w:tr>
      <w:tr w:rsidR="00422018" w:rsidRPr="00E8107B" w:rsidTr="00E8107B">
        <w:tc>
          <w:tcPr>
            <w:tcW w:w="10620" w:type="dxa"/>
            <w:gridSpan w:val="3"/>
          </w:tcPr>
          <w:p w:rsidR="00422018" w:rsidRPr="00E8107B" w:rsidRDefault="00422018" w:rsidP="00422018">
            <w:pPr>
              <w:rPr>
                <w:sz w:val="20"/>
                <w:szCs w:val="20"/>
              </w:rPr>
            </w:pPr>
            <w:r w:rsidRPr="00E8107B">
              <w:rPr>
                <w:sz w:val="20"/>
                <w:szCs w:val="20"/>
              </w:rPr>
              <w:t>Feedback and Suggestions</w:t>
            </w:r>
          </w:p>
        </w:tc>
      </w:tr>
      <w:tr w:rsidR="00422018" w:rsidRPr="00E8107B" w:rsidTr="00E8107B">
        <w:tc>
          <w:tcPr>
            <w:tcW w:w="2970" w:type="dxa"/>
          </w:tcPr>
          <w:p w:rsidR="00422018" w:rsidRPr="00E8107B" w:rsidRDefault="00422018" w:rsidP="00422018">
            <w:pPr>
              <w:rPr>
                <w:sz w:val="20"/>
                <w:szCs w:val="20"/>
              </w:rPr>
            </w:pPr>
            <w:r w:rsidRPr="00E8107B">
              <w:rPr>
                <w:sz w:val="20"/>
                <w:szCs w:val="20"/>
              </w:rPr>
              <w:t>Request for committee</w:t>
            </w:r>
          </w:p>
        </w:tc>
        <w:tc>
          <w:tcPr>
            <w:tcW w:w="7650" w:type="dxa"/>
            <w:gridSpan w:val="2"/>
          </w:tcPr>
          <w:p w:rsidR="00422018" w:rsidRPr="00E8107B" w:rsidRDefault="00422018" w:rsidP="00422018">
            <w:pPr>
              <w:rPr>
                <w:sz w:val="20"/>
                <w:szCs w:val="20"/>
              </w:rPr>
            </w:pPr>
            <w:r w:rsidRPr="00E8107B">
              <w:rPr>
                <w:sz w:val="20"/>
                <w:szCs w:val="20"/>
              </w:rPr>
              <w:t>It seems revising/updating PPM 1-19 would be good to include with a revision to 1-18. I would like to be included in that if it occurs since there are some perceived issues that I have heard of over the years.</w:t>
            </w:r>
          </w:p>
        </w:tc>
      </w:tr>
      <w:tr w:rsidR="00422018" w:rsidRPr="00E8107B" w:rsidTr="00E8107B">
        <w:tc>
          <w:tcPr>
            <w:tcW w:w="2970" w:type="dxa"/>
          </w:tcPr>
          <w:p w:rsidR="00422018" w:rsidRPr="00E8107B" w:rsidRDefault="00422018" w:rsidP="00422018">
            <w:pPr>
              <w:rPr>
                <w:color w:val="7030A0"/>
                <w:sz w:val="20"/>
                <w:szCs w:val="20"/>
              </w:rPr>
            </w:pPr>
            <w:r w:rsidRPr="00E8107B">
              <w:rPr>
                <w:color w:val="7030A0"/>
                <w:sz w:val="20"/>
                <w:szCs w:val="20"/>
              </w:rPr>
              <w:t>Change in opening paragraph (unchanged in revision from old policy)</w:t>
            </w:r>
          </w:p>
        </w:tc>
        <w:tc>
          <w:tcPr>
            <w:tcW w:w="7650" w:type="dxa"/>
            <w:gridSpan w:val="2"/>
          </w:tcPr>
          <w:p w:rsidR="00422018" w:rsidRPr="00E8107B" w:rsidRDefault="00422018" w:rsidP="00422018">
            <w:pPr>
              <w:rPr>
                <w:color w:val="7030A0"/>
                <w:sz w:val="20"/>
                <w:szCs w:val="20"/>
              </w:rPr>
            </w:pPr>
            <w:r w:rsidRPr="00E8107B">
              <w:rPr>
                <w:color w:val="7030A0"/>
                <w:sz w:val="20"/>
                <w:szCs w:val="20"/>
              </w:rPr>
              <w:t xml:space="preserve">There is some inconsistency between 1-18 and 1-19, in my opinion, about the role of the provost, president, and confirmation by the board of trustees in appointing </w:t>
            </w:r>
            <w:proofErr w:type="spellStart"/>
            <w:r w:rsidRPr="00E8107B">
              <w:rPr>
                <w:color w:val="7030A0"/>
                <w:sz w:val="20"/>
                <w:szCs w:val="20"/>
              </w:rPr>
              <w:t>dept</w:t>
            </w:r>
            <w:proofErr w:type="spellEnd"/>
            <w:r w:rsidRPr="00E8107B">
              <w:rPr>
                <w:color w:val="7030A0"/>
                <w:sz w:val="20"/>
                <w:szCs w:val="20"/>
              </w:rPr>
              <w:t xml:space="preserve"> chairs.</w:t>
            </w:r>
          </w:p>
        </w:tc>
      </w:tr>
      <w:tr w:rsidR="00422018" w:rsidRPr="00E8107B" w:rsidTr="00E8107B">
        <w:tc>
          <w:tcPr>
            <w:tcW w:w="2970" w:type="dxa"/>
          </w:tcPr>
          <w:p w:rsidR="00422018" w:rsidRPr="00E8107B" w:rsidRDefault="00422018" w:rsidP="00422018">
            <w:pPr>
              <w:rPr>
                <w:color w:val="7030A0"/>
                <w:sz w:val="20"/>
                <w:szCs w:val="20"/>
              </w:rPr>
            </w:pPr>
            <w:r w:rsidRPr="00E8107B">
              <w:rPr>
                <w:color w:val="7030A0"/>
                <w:sz w:val="20"/>
                <w:szCs w:val="20"/>
              </w:rPr>
              <w:t>Misalignment on</w:t>
            </w:r>
            <w:r w:rsidR="000D6D8E" w:rsidRPr="00E8107B">
              <w:rPr>
                <w:color w:val="7030A0"/>
                <w:sz w:val="20"/>
                <w:szCs w:val="20"/>
              </w:rPr>
              <w:t xml:space="preserve"> old</w:t>
            </w:r>
            <w:r w:rsidRPr="00E8107B">
              <w:rPr>
                <w:color w:val="7030A0"/>
                <w:sz w:val="20"/>
                <w:szCs w:val="20"/>
              </w:rPr>
              <w:t xml:space="preserve"> </w:t>
            </w:r>
            <w:r w:rsidR="000D6D8E" w:rsidRPr="00E8107B">
              <w:rPr>
                <w:color w:val="7030A0"/>
                <w:sz w:val="20"/>
                <w:szCs w:val="20"/>
              </w:rPr>
              <w:t>items to new items</w:t>
            </w:r>
          </w:p>
        </w:tc>
        <w:tc>
          <w:tcPr>
            <w:tcW w:w="7650" w:type="dxa"/>
            <w:gridSpan w:val="2"/>
          </w:tcPr>
          <w:p w:rsidR="00422018" w:rsidRPr="00E8107B" w:rsidRDefault="000D6D8E" w:rsidP="00422018">
            <w:pPr>
              <w:rPr>
                <w:color w:val="7030A0"/>
                <w:sz w:val="20"/>
                <w:szCs w:val="20"/>
              </w:rPr>
            </w:pPr>
            <w:r w:rsidRPr="00E8107B">
              <w:rPr>
                <w:color w:val="7030A0"/>
                <w:sz w:val="20"/>
                <w:szCs w:val="20"/>
              </w:rPr>
              <w:t>I-5 goes to XII not IV</w:t>
            </w:r>
          </w:p>
          <w:p w:rsidR="000D6D8E" w:rsidRPr="00E8107B" w:rsidRDefault="000D6D8E" w:rsidP="00422018">
            <w:pPr>
              <w:rPr>
                <w:color w:val="7030A0"/>
                <w:sz w:val="20"/>
                <w:szCs w:val="20"/>
              </w:rPr>
            </w:pPr>
            <w:r w:rsidRPr="00E8107B">
              <w:rPr>
                <w:color w:val="7030A0"/>
                <w:sz w:val="20"/>
                <w:szCs w:val="20"/>
              </w:rPr>
              <w:t xml:space="preserve">I-6 </w:t>
            </w:r>
            <w:r w:rsidRPr="00E8107B">
              <w:rPr>
                <w:color w:val="7030A0"/>
                <w:sz w:val="20"/>
                <w:szCs w:val="20"/>
              </w:rPr>
              <w:t>goes to XII not IV</w:t>
            </w:r>
          </w:p>
          <w:p w:rsidR="000D6D8E" w:rsidRPr="00E8107B" w:rsidRDefault="000D6D8E" w:rsidP="00422018">
            <w:pPr>
              <w:rPr>
                <w:color w:val="7030A0"/>
                <w:sz w:val="20"/>
                <w:szCs w:val="20"/>
              </w:rPr>
            </w:pPr>
            <w:r w:rsidRPr="00E8107B">
              <w:rPr>
                <w:color w:val="7030A0"/>
                <w:sz w:val="20"/>
                <w:szCs w:val="20"/>
              </w:rPr>
              <w:t xml:space="preserve">I-7 </w:t>
            </w:r>
            <w:r w:rsidRPr="00E8107B">
              <w:rPr>
                <w:color w:val="7030A0"/>
                <w:sz w:val="20"/>
                <w:szCs w:val="20"/>
              </w:rPr>
              <w:t>goes to XII not IV</w:t>
            </w:r>
          </w:p>
          <w:p w:rsidR="000D6D8E" w:rsidRPr="00E8107B" w:rsidRDefault="000D6D8E" w:rsidP="00422018">
            <w:pPr>
              <w:rPr>
                <w:color w:val="7030A0"/>
                <w:sz w:val="20"/>
                <w:szCs w:val="20"/>
              </w:rPr>
            </w:pPr>
            <w:r w:rsidRPr="00E8107B">
              <w:rPr>
                <w:color w:val="7030A0"/>
                <w:sz w:val="20"/>
                <w:szCs w:val="20"/>
              </w:rPr>
              <w:t>I-9 goes to XV</w:t>
            </w:r>
          </w:p>
          <w:p w:rsidR="000D6D8E" w:rsidRPr="00E8107B" w:rsidRDefault="000D6D8E" w:rsidP="00422018">
            <w:pPr>
              <w:rPr>
                <w:color w:val="7030A0"/>
                <w:sz w:val="20"/>
                <w:szCs w:val="20"/>
              </w:rPr>
            </w:pPr>
            <w:r w:rsidRPr="00E8107B">
              <w:rPr>
                <w:color w:val="7030A0"/>
                <w:sz w:val="20"/>
                <w:szCs w:val="20"/>
              </w:rPr>
              <w:t>II-4 goes to XV</w:t>
            </w:r>
          </w:p>
          <w:p w:rsidR="000D6D8E" w:rsidRPr="00E8107B" w:rsidRDefault="000D6D8E" w:rsidP="000D6D8E">
            <w:pPr>
              <w:rPr>
                <w:color w:val="7030A0"/>
                <w:sz w:val="20"/>
                <w:szCs w:val="20"/>
              </w:rPr>
            </w:pPr>
            <w:r w:rsidRPr="00E8107B">
              <w:rPr>
                <w:color w:val="7030A0"/>
                <w:sz w:val="20"/>
                <w:szCs w:val="20"/>
              </w:rPr>
              <w:t>III-4 goes to V not X</w:t>
            </w:r>
          </w:p>
        </w:tc>
      </w:tr>
      <w:tr w:rsidR="00422018" w:rsidRPr="00E8107B" w:rsidTr="00E8107B">
        <w:tc>
          <w:tcPr>
            <w:tcW w:w="2970" w:type="dxa"/>
          </w:tcPr>
          <w:p w:rsidR="00422018" w:rsidRPr="00E8107B" w:rsidRDefault="00422018" w:rsidP="00422018">
            <w:pPr>
              <w:rPr>
                <w:color w:val="7030A0"/>
                <w:sz w:val="20"/>
                <w:szCs w:val="20"/>
              </w:rPr>
            </w:pPr>
            <w:r w:rsidRPr="00E8107B">
              <w:rPr>
                <w:color w:val="7030A0"/>
                <w:sz w:val="20"/>
                <w:szCs w:val="20"/>
              </w:rPr>
              <w:t>I-1</w:t>
            </w:r>
          </w:p>
        </w:tc>
        <w:tc>
          <w:tcPr>
            <w:tcW w:w="7650" w:type="dxa"/>
            <w:gridSpan w:val="2"/>
          </w:tcPr>
          <w:p w:rsidR="00422018" w:rsidRPr="00E8107B" w:rsidRDefault="00422018" w:rsidP="00422018">
            <w:pPr>
              <w:pStyle w:val="CommentText"/>
              <w:rPr>
                <w:color w:val="7030A0"/>
              </w:rPr>
            </w:pPr>
            <w:r w:rsidRPr="00E8107B">
              <w:rPr>
                <w:color w:val="7030A0"/>
              </w:rPr>
              <w:t>Chairs are also responsible for overseeing post-tenure reviews … so this should read</w:t>
            </w:r>
            <w:r w:rsidRPr="00E8107B">
              <w:rPr>
                <w:b/>
                <w:color w:val="7030A0"/>
              </w:rPr>
              <w:t xml:space="preserve"> … contract faculty, tenure-track faculty, and tenured faculty. </w:t>
            </w:r>
          </w:p>
        </w:tc>
      </w:tr>
      <w:tr w:rsidR="00422018" w:rsidRPr="00E8107B" w:rsidTr="00E8107B">
        <w:tc>
          <w:tcPr>
            <w:tcW w:w="2970" w:type="dxa"/>
          </w:tcPr>
          <w:p w:rsidR="00422018" w:rsidRPr="00E8107B" w:rsidRDefault="00422018" w:rsidP="00422018">
            <w:pPr>
              <w:rPr>
                <w:color w:val="7030A0"/>
                <w:sz w:val="20"/>
                <w:szCs w:val="20"/>
              </w:rPr>
            </w:pPr>
            <w:r w:rsidRPr="00E8107B">
              <w:rPr>
                <w:color w:val="7030A0"/>
                <w:sz w:val="20"/>
                <w:szCs w:val="20"/>
              </w:rPr>
              <w:t>I-2</w:t>
            </w:r>
          </w:p>
        </w:tc>
        <w:tc>
          <w:tcPr>
            <w:tcW w:w="7650" w:type="dxa"/>
            <w:gridSpan w:val="2"/>
          </w:tcPr>
          <w:p w:rsidR="00422018" w:rsidRPr="00E8107B" w:rsidRDefault="00422018" w:rsidP="00422018">
            <w:pPr>
              <w:pStyle w:val="CommentText"/>
              <w:numPr>
                <w:ilvl w:val="0"/>
                <w:numId w:val="1"/>
              </w:numPr>
              <w:rPr>
                <w:color w:val="7030A0"/>
              </w:rPr>
            </w:pPr>
            <w:proofErr w:type="gramStart"/>
            <w:r w:rsidRPr="00E8107B">
              <w:rPr>
                <w:color w:val="7030A0"/>
                <w:shd w:val="clear" w:color="auto" w:fill="FFFFFF"/>
              </w:rPr>
              <w:t>and</w:t>
            </w:r>
            <w:proofErr w:type="gramEnd"/>
            <w:r w:rsidRPr="00E8107B">
              <w:rPr>
                <w:color w:val="7030A0"/>
                <w:shd w:val="clear" w:color="auto" w:fill="FFFFFF"/>
              </w:rPr>
              <w:t xml:space="preserve"> prudently manage the  funds allocated to the department.</w:t>
            </w:r>
          </w:p>
          <w:p w:rsidR="00422018" w:rsidRPr="00E8107B" w:rsidRDefault="00422018" w:rsidP="00422018">
            <w:pPr>
              <w:pStyle w:val="CommentText"/>
              <w:numPr>
                <w:ilvl w:val="0"/>
                <w:numId w:val="1"/>
              </w:numPr>
              <w:rPr>
                <w:color w:val="7030A0"/>
              </w:rPr>
            </w:pPr>
            <w:r w:rsidRPr="00E8107B">
              <w:rPr>
                <w:color w:val="7030A0"/>
              </w:rPr>
              <w:t xml:space="preserve">Has been reworded from … </w:t>
            </w:r>
            <w:r w:rsidRPr="00E8107B">
              <w:rPr>
                <w:color w:val="7030A0"/>
                <w:shd w:val="clear" w:color="auto" w:fill="FFFFFF"/>
              </w:rPr>
              <w:t>Prepare the department budget request, developed in discussion with his/her faculty, and prudently manage the  funds allocated to the department. (Managing funds has moved to III.6 but managing funds is also a leadership responsibility)</w:t>
            </w:r>
          </w:p>
        </w:tc>
      </w:tr>
      <w:tr w:rsidR="00422018" w:rsidRPr="00E8107B" w:rsidTr="00E8107B">
        <w:tc>
          <w:tcPr>
            <w:tcW w:w="2970" w:type="dxa"/>
          </w:tcPr>
          <w:p w:rsidR="00422018" w:rsidRPr="00E8107B" w:rsidRDefault="00422018" w:rsidP="00422018">
            <w:pPr>
              <w:rPr>
                <w:sz w:val="20"/>
                <w:szCs w:val="20"/>
              </w:rPr>
            </w:pPr>
            <w:r w:rsidRPr="00E8107B">
              <w:rPr>
                <w:sz w:val="20"/>
                <w:szCs w:val="20"/>
              </w:rPr>
              <w:t>I-2</w:t>
            </w:r>
          </w:p>
        </w:tc>
        <w:tc>
          <w:tcPr>
            <w:tcW w:w="7650" w:type="dxa"/>
            <w:gridSpan w:val="2"/>
          </w:tcPr>
          <w:p w:rsidR="00422018" w:rsidRPr="00E8107B" w:rsidRDefault="00422018" w:rsidP="00422018">
            <w:pPr>
              <w:rPr>
                <w:color w:val="000000"/>
                <w:sz w:val="20"/>
                <w:szCs w:val="20"/>
              </w:rPr>
            </w:pPr>
            <w:r w:rsidRPr="00E8107B">
              <w:rPr>
                <w:color w:val="000000"/>
                <w:sz w:val="20"/>
                <w:szCs w:val="20"/>
              </w:rPr>
              <w:t>Needs clarification/consultation with dean with budget</w:t>
            </w:r>
          </w:p>
        </w:tc>
      </w:tr>
      <w:tr w:rsidR="000D6D8E" w:rsidRPr="00E8107B" w:rsidTr="00E8107B">
        <w:tc>
          <w:tcPr>
            <w:tcW w:w="2970" w:type="dxa"/>
          </w:tcPr>
          <w:p w:rsidR="000D6D8E" w:rsidRPr="00E8107B" w:rsidRDefault="000D6D8E" w:rsidP="00422018">
            <w:pPr>
              <w:rPr>
                <w:sz w:val="20"/>
                <w:szCs w:val="20"/>
              </w:rPr>
            </w:pPr>
            <w:r w:rsidRPr="00E8107B">
              <w:rPr>
                <w:sz w:val="20"/>
                <w:szCs w:val="20"/>
              </w:rPr>
              <w:t>I-3</w:t>
            </w:r>
          </w:p>
        </w:tc>
        <w:tc>
          <w:tcPr>
            <w:tcW w:w="7650" w:type="dxa"/>
            <w:gridSpan w:val="2"/>
          </w:tcPr>
          <w:p w:rsidR="000D6D8E" w:rsidRPr="00E8107B" w:rsidRDefault="000D6D8E" w:rsidP="00422018">
            <w:pPr>
              <w:rPr>
                <w:color w:val="000000"/>
                <w:sz w:val="20"/>
                <w:szCs w:val="20"/>
              </w:rPr>
            </w:pPr>
            <w:r w:rsidRPr="00E8107B">
              <w:rPr>
                <w:color w:val="000000"/>
                <w:sz w:val="20"/>
                <w:szCs w:val="20"/>
              </w:rPr>
              <w:t>Needs addition--</w:t>
            </w:r>
            <w:r w:rsidRPr="00E8107B">
              <w:rPr>
                <w:sz w:val="20"/>
                <w:szCs w:val="20"/>
              </w:rPr>
              <w:t xml:space="preserve"> </w:t>
            </w:r>
            <w:r w:rsidRPr="00E8107B">
              <w:rPr>
                <w:color w:val="000000"/>
                <w:sz w:val="20"/>
                <w:szCs w:val="20"/>
              </w:rPr>
              <w:t>Effectively manage the department budget</w:t>
            </w:r>
          </w:p>
        </w:tc>
      </w:tr>
      <w:tr w:rsidR="00422018" w:rsidRPr="00E8107B" w:rsidTr="00E8107B">
        <w:tc>
          <w:tcPr>
            <w:tcW w:w="2970" w:type="dxa"/>
          </w:tcPr>
          <w:p w:rsidR="00422018" w:rsidRPr="00E8107B" w:rsidRDefault="000D6D8E" w:rsidP="00422018">
            <w:pPr>
              <w:rPr>
                <w:color w:val="7030A0"/>
                <w:sz w:val="20"/>
                <w:szCs w:val="20"/>
              </w:rPr>
            </w:pPr>
            <w:r w:rsidRPr="00E8107B">
              <w:rPr>
                <w:color w:val="7030A0"/>
                <w:sz w:val="20"/>
                <w:szCs w:val="20"/>
              </w:rPr>
              <w:t>I-8</w:t>
            </w:r>
          </w:p>
        </w:tc>
        <w:tc>
          <w:tcPr>
            <w:tcW w:w="7650" w:type="dxa"/>
            <w:gridSpan w:val="2"/>
          </w:tcPr>
          <w:p w:rsidR="00422018" w:rsidRPr="00E8107B" w:rsidRDefault="000D6D8E" w:rsidP="00422018">
            <w:pPr>
              <w:rPr>
                <w:color w:val="7030A0"/>
                <w:sz w:val="20"/>
                <w:szCs w:val="20"/>
              </w:rPr>
            </w:pPr>
            <w:r w:rsidRPr="00E8107B">
              <w:rPr>
                <w:color w:val="7030A0"/>
                <w:sz w:val="20"/>
                <w:szCs w:val="20"/>
              </w:rPr>
              <w:t>Department chairs are faculty members so PPM 9-3 should cover this without making it a separate leadership responsibility. I think it’s OK to add but not necessary.</w:t>
            </w:r>
          </w:p>
        </w:tc>
      </w:tr>
      <w:tr w:rsidR="00422018" w:rsidRPr="00E8107B" w:rsidTr="00E8107B">
        <w:tc>
          <w:tcPr>
            <w:tcW w:w="2970" w:type="dxa"/>
          </w:tcPr>
          <w:p w:rsidR="00422018" w:rsidRPr="00E8107B" w:rsidRDefault="000D6D8E" w:rsidP="00422018">
            <w:pPr>
              <w:rPr>
                <w:sz w:val="20"/>
                <w:szCs w:val="20"/>
              </w:rPr>
            </w:pPr>
            <w:r w:rsidRPr="00E8107B">
              <w:rPr>
                <w:sz w:val="20"/>
                <w:szCs w:val="20"/>
              </w:rPr>
              <w:t>I-8</w:t>
            </w:r>
          </w:p>
        </w:tc>
        <w:tc>
          <w:tcPr>
            <w:tcW w:w="7650" w:type="dxa"/>
            <w:gridSpan w:val="2"/>
          </w:tcPr>
          <w:p w:rsidR="00422018" w:rsidRPr="00E8107B" w:rsidRDefault="000D6D8E" w:rsidP="00422018">
            <w:pPr>
              <w:rPr>
                <w:sz w:val="20"/>
                <w:szCs w:val="20"/>
              </w:rPr>
            </w:pPr>
            <w:r w:rsidRPr="00E8107B">
              <w:rPr>
                <w:sz w:val="20"/>
                <w:szCs w:val="20"/>
              </w:rPr>
              <w:t>Delete</w:t>
            </w:r>
          </w:p>
        </w:tc>
      </w:tr>
      <w:tr w:rsidR="00422018" w:rsidRPr="00E8107B" w:rsidTr="00E8107B">
        <w:tc>
          <w:tcPr>
            <w:tcW w:w="2970" w:type="dxa"/>
          </w:tcPr>
          <w:p w:rsidR="00422018" w:rsidRPr="00E8107B" w:rsidRDefault="000D6D8E" w:rsidP="00422018">
            <w:pPr>
              <w:rPr>
                <w:sz w:val="20"/>
                <w:szCs w:val="20"/>
              </w:rPr>
            </w:pPr>
            <w:r w:rsidRPr="00E8107B">
              <w:rPr>
                <w:sz w:val="20"/>
                <w:szCs w:val="20"/>
              </w:rPr>
              <w:t>I-8</w:t>
            </w:r>
          </w:p>
        </w:tc>
        <w:tc>
          <w:tcPr>
            <w:tcW w:w="7650" w:type="dxa"/>
            <w:gridSpan w:val="2"/>
          </w:tcPr>
          <w:p w:rsidR="00422018" w:rsidRPr="00E8107B" w:rsidRDefault="000D6D8E" w:rsidP="00422018">
            <w:pPr>
              <w:rPr>
                <w:sz w:val="20"/>
                <w:szCs w:val="20"/>
              </w:rPr>
            </w:pPr>
            <w:r w:rsidRPr="00E8107B">
              <w:rPr>
                <w:sz w:val="20"/>
                <w:szCs w:val="20"/>
              </w:rPr>
              <w:t>Delete</w:t>
            </w:r>
          </w:p>
        </w:tc>
      </w:tr>
      <w:tr w:rsidR="00422018" w:rsidRPr="00E8107B" w:rsidTr="00E8107B">
        <w:tc>
          <w:tcPr>
            <w:tcW w:w="2970" w:type="dxa"/>
          </w:tcPr>
          <w:p w:rsidR="00422018" w:rsidRPr="00E8107B" w:rsidRDefault="000D6D8E" w:rsidP="00422018">
            <w:pPr>
              <w:rPr>
                <w:sz w:val="20"/>
                <w:szCs w:val="20"/>
              </w:rPr>
            </w:pPr>
            <w:r w:rsidRPr="00E8107B">
              <w:rPr>
                <w:sz w:val="20"/>
                <w:szCs w:val="20"/>
              </w:rPr>
              <w:t>I-8</w:t>
            </w:r>
          </w:p>
        </w:tc>
        <w:tc>
          <w:tcPr>
            <w:tcW w:w="7650" w:type="dxa"/>
            <w:gridSpan w:val="2"/>
          </w:tcPr>
          <w:p w:rsidR="00422018" w:rsidRPr="00E8107B" w:rsidRDefault="000D6D8E" w:rsidP="00422018">
            <w:pPr>
              <w:rPr>
                <w:sz w:val="20"/>
                <w:szCs w:val="20"/>
              </w:rPr>
            </w:pPr>
            <w:r w:rsidRPr="00E8107B">
              <w:rPr>
                <w:sz w:val="20"/>
                <w:szCs w:val="20"/>
              </w:rPr>
              <w:t>Why was this added? Is there an underlying reason</w:t>
            </w:r>
          </w:p>
        </w:tc>
      </w:tr>
      <w:tr w:rsidR="00422018" w:rsidRPr="00E8107B" w:rsidTr="00E8107B">
        <w:tc>
          <w:tcPr>
            <w:tcW w:w="2970" w:type="dxa"/>
          </w:tcPr>
          <w:p w:rsidR="00422018" w:rsidRPr="00E8107B" w:rsidRDefault="000D6D8E" w:rsidP="00422018">
            <w:pPr>
              <w:rPr>
                <w:sz w:val="20"/>
                <w:szCs w:val="20"/>
              </w:rPr>
            </w:pPr>
            <w:r w:rsidRPr="00E8107B">
              <w:rPr>
                <w:sz w:val="20"/>
                <w:szCs w:val="20"/>
              </w:rPr>
              <w:t>I-9</w:t>
            </w:r>
          </w:p>
        </w:tc>
        <w:tc>
          <w:tcPr>
            <w:tcW w:w="7650" w:type="dxa"/>
            <w:gridSpan w:val="2"/>
          </w:tcPr>
          <w:p w:rsidR="00422018" w:rsidRPr="00E8107B" w:rsidRDefault="000D6D8E" w:rsidP="00422018">
            <w:pPr>
              <w:rPr>
                <w:sz w:val="20"/>
                <w:szCs w:val="20"/>
              </w:rPr>
            </w:pPr>
            <w:r w:rsidRPr="00E8107B">
              <w:rPr>
                <w:sz w:val="20"/>
                <w:szCs w:val="20"/>
              </w:rPr>
              <w:t>Move to section 2</w:t>
            </w:r>
          </w:p>
        </w:tc>
      </w:tr>
      <w:tr w:rsidR="000D6D8E" w:rsidRPr="00E8107B" w:rsidTr="00E8107B">
        <w:tc>
          <w:tcPr>
            <w:tcW w:w="2970" w:type="dxa"/>
          </w:tcPr>
          <w:p w:rsidR="000D6D8E" w:rsidRPr="00E8107B" w:rsidRDefault="000D6D8E" w:rsidP="00422018">
            <w:pPr>
              <w:rPr>
                <w:sz w:val="20"/>
                <w:szCs w:val="20"/>
              </w:rPr>
            </w:pPr>
            <w:r w:rsidRPr="00E8107B">
              <w:rPr>
                <w:sz w:val="20"/>
                <w:szCs w:val="20"/>
              </w:rPr>
              <w:t>II</w:t>
            </w:r>
          </w:p>
        </w:tc>
        <w:tc>
          <w:tcPr>
            <w:tcW w:w="7650" w:type="dxa"/>
            <w:gridSpan w:val="2"/>
          </w:tcPr>
          <w:p w:rsidR="000D6D8E" w:rsidRPr="00E8107B" w:rsidRDefault="000D6D8E" w:rsidP="00422018">
            <w:pPr>
              <w:rPr>
                <w:sz w:val="20"/>
                <w:szCs w:val="20"/>
              </w:rPr>
            </w:pPr>
            <w:r w:rsidRPr="00E8107B">
              <w:rPr>
                <w:sz w:val="20"/>
                <w:szCs w:val="20"/>
              </w:rPr>
              <w:t>Needs addition-- Implement College policies and initiatives.</w:t>
            </w:r>
          </w:p>
        </w:tc>
      </w:tr>
      <w:tr w:rsidR="000D6D8E" w:rsidRPr="00E8107B" w:rsidTr="00E8107B">
        <w:tc>
          <w:tcPr>
            <w:tcW w:w="2970" w:type="dxa"/>
          </w:tcPr>
          <w:p w:rsidR="000D6D8E" w:rsidRPr="00E8107B" w:rsidRDefault="000D6D8E" w:rsidP="00422018">
            <w:pPr>
              <w:rPr>
                <w:sz w:val="20"/>
                <w:szCs w:val="20"/>
              </w:rPr>
            </w:pPr>
            <w:r w:rsidRPr="00E8107B">
              <w:rPr>
                <w:sz w:val="20"/>
                <w:szCs w:val="20"/>
              </w:rPr>
              <w:t>II</w:t>
            </w:r>
          </w:p>
        </w:tc>
        <w:tc>
          <w:tcPr>
            <w:tcW w:w="7650" w:type="dxa"/>
            <w:gridSpan w:val="2"/>
          </w:tcPr>
          <w:p w:rsidR="000D6D8E" w:rsidRPr="00E8107B" w:rsidRDefault="000D6D8E" w:rsidP="00422018">
            <w:pPr>
              <w:rPr>
                <w:sz w:val="20"/>
                <w:szCs w:val="20"/>
              </w:rPr>
            </w:pPr>
            <w:r w:rsidRPr="00E8107B">
              <w:rPr>
                <w:sz w:val="20"/>
                <w:szCs w:val="20"/>
              </w:rPr>
              <w:t xml:space="preserve">Needs addition-- Ensure that department activities align with and support college </w:t>
            </w:r>
            <w:proofErr w:type="gramStart"/>
            <w:r w:rsidRPr="00E8107B">
              <w:rPr>
                <w:sz w:val="20"/>
                <w:szCs w:val="20"/>
              </w:rPr>
              <w:t>initiatives.</w:t>
            </w:r>
            <w:proofErr w:type="gramEnd"/>
          </w:p>
        </w:tc>
      </w:tr>
      <w:tr w:rsidR="000D6D8E" w:rsidRPr="00E8107B" w:rsidTr="00E8107B">
        <w:tc>
          <w:tcPr>
            <w:tcW w:w="2970" w:type="dxa"/>
          </w:tcPr>
          <w:p w:rsidR="000D6D8E" w:rsidRPr="00E8107B" w:rsidRDefault="000D6D8E" w:rsidP="00422018">
            <w:pPr>
              <w:rPr>
                <w:color w:val="7030A0"/>
                <w:sz w:val="20"/>
                <w:szCs w:val="20"/>
              </w:rPr>
            </w:pPr>
            <w:r w:rsidRPr="00E8107B">
              <w:rPr>
                <w:color w:val="7030A0"/>
                <w:sz w:val="20"/>
                <w:szCs w:val="20"/>
              </w:rPr>
              <w:t>III-3</w:t>
            </w:r>
          </w:p>
        </w:tc>
        <w:tc>
          <w:tcPr>
            <w:tcW w:w="7650" w:type="dxa"/>
            <w:gridSpan w:val="2"/>
          </w:tcPr>
          <w:p w:rsidR="000D6D8E" w:rsidRPr="00E8107B" w:rsidRDefault="000D6D8E" w:rsidP="000D6D8E">
            <w:pPr>
              <w:pStyle w:val="ListParagraph"/>
              <w:numPr>
                <w:ilvl w:val="0"/>
                <w:numId w:val="2"/>
              </w:numPr>
              <w:rPr>
                <w:color w:val="7030A0"/>
                <w:sz w:val="20"/>
                <w:szCs w:val="20"/>
              </w:rPr>
            </w:pPr>
            <w:r w:rsidRPr="00E8107B">
              <w:rPr>
                <w:color w:val="7030A0"/>
                <w:sz w:val="20"/>
                <w:szCs w:val="20"/>
              </w:rPr>
              <w:t>Concurrent Enrollment instructors could be included here also unless they fall under adjunct faculty</w:t>
            </w:r>
          </w:p>
          <w:p w:rsidR="000D6D8E" w:rsidRPr="00E8107B" w:rsidRDefault="000D6D8E" w:rsidP="000D6D8E">
            <w:pPr>
              <w:pStyle w:val="ListParagraph"/>
              <w:numPr>
                <w:ilvl w:val="0"/>
                <w:numId w:val="2"/>
              </w:numPr>
              <w:rPr>
                <w:color w:val="7030A0"/>
                <w:sz w:val="20"/>
                <w:szCs w:val="20"/>
              </w:rPr>
            </w:pPr>
            <w:r w:rsidRPr="00E8107B">
              <w:rPr>
                <w:color w:val="7030A0"/>
                <w:sz w:val="20"/>
                <w:szCs w:val="20"/>
              </w:rPr>
              <w:t>“</w:t>
            </w:r>
            <w:proofErr w:type="gramStart"/>
            <w:r w:rsidRPr="00E8107B">
              <w:rPr>
                <w:color w:val="7030A0"/>
                <w:sz w:val="20"/>
                <w:szCs w:val="20"/>
              </w:rPr>
              <w:t>and</w:t>
            </w:r>
            <w:proofErr w:type="gramEnd"/>
            <w:r w:rsidRPr="00E8107B">
              <w:rPr>
                <w:color w:val="7030A0"/>
                <w:sz w:val="20"/>
                <w:szCs w:val="20"/>
              </w:rPr>
              <w:t xml:space="preserve"> other satellite locations” is new language that seems appropriate.</w:t>
            </w:r>
          </w:p>
        </w:tc>
      </w:tr>
      <w:tr w:rsidR="000D6D8E" w:rsidRPr="00E8107B" w:rsidTr="00E8107B">
        <w:tc>
          <w:tcPr>
            <w:tcW w:w="2970" w:type="dxa"/>
          </w:tcPr>
          <w:p w:rsidR="000D6D8E" w:rsidRPr="00E8107B" w:rsidRDefault="000D6D8E" w:rsidP="00422018">
            <w:pPr>
              <w:rPr>
                <w:color w:val="7030A0"/>
                <w:sz w:val="20"/>
                <w:szCs w:val="20"/>
              </w:rPr>
            </w:pPr>
            <w:r w:rsidRPr="00E8107B">
              <w:rPr>
                <w:color w:val="7030A0"/>
                <w:sz w:val="20"/>
                <w:szCs w:val="20"/>
              </w:rPr>
              <w:t>III-8</w:t>
            </w:r>
          </w:p>
        </w:tc>
        <w:tc>
          <w:tcPr>
            <w:tcW w:w="7650" w:type="dxa"/>
            <w:gridSpan w:val="2"/>
          </w:tcPr>
          <w:p w:rsidR="000D6D8E" w:rsidRPr="00E8107B" w:rsidRDefault="000D6D8E" w:rsidP="000D6D8E">
            <w:pPr>
              <w:pStyle w:val="CommentText"/>
              <w:rPr>
                <w:color w:val="7030A0"/>
              </w:rPr>
            </w:pPr>
            <w:r w:rsidRPr="00E8107B">
              <w:rPr>
                <w:rStyle w:val="CommentReference"/>
                <w:color w:val="7030A0"/>
                <w:sz w:val="20"/>
                <w:szCs w:val="20"/>
              </w:rPr>
              <w:t/>
            </w:r>
            <w:r w:rsidRPr="00E8107B">
              <w:rPr>
                <w:color w:val="7030A0"/>
              </w:rPr>
              <w:t>We also oversee annual outcomes assessment reports</w:t>
            </w:r>
          </w:p>
        </w:tc>
      </w:tr>
      <w:tr w:rsidR="000D6D8E" w:rsidRPr="00E8107B" w:rsidTr="00E8107B">
        <w:tc>
          <w:tcPr>
            <w:tcW w:w="2970" w:type="dxa"/>
          </w:tcPr>
          <w:p w:rsidR="000D6D8E" w:rsidRPr="00E8107B" w:rsidRDefault="000D6D8E" w:rsidP="00422018">
            <w:pPr>
              <w:rPr>
                <w:color w:val="7030A0"/>
                <w:sz w:val="20"/>
                <w:szCs w:val="20"/>
              </w:rPr>
            </w:pPr>
            <w:r w:rsidRPr="00E8107B">
              <w:rPr>
                <w:color w:val="7030A0"/>
                <w:sz w:val="20"/>
                <w:szCs w:val="20"/>
              </w:rPr>
              <w:t>III</w:t>
            </w:r>
          </w:p>
        </w:tc>
        <w:tc>
          <w:tcPr>
            <w:tcW w:w="7650" w:type="dxa"/>
            <w:gridSpan w:val="2"/>
          </w:tcPr>
          <w:p w:rsidR="000D6D8E" w:rsidRPr="00E8107B" w:rsidRDefault="000D6D8E" w:rsidP="00422018">
            <w:pPr>
              <w:rPr>
                <w:color w:val="7030A0"/>
                <w:sz w:val="20"/>
                <w:szCs w:val="20"/>
              </w:rPr>
            </w:pPr>
            <w:r w:rsidRPr="00E8107B">
              <w:rPr>
                <w:color w:val="7030A0"/>
                <w:sz w:val="20"/>
                <w:szCs w:val="20"/>
              </w:rPr>
              <w:t>Nowhere in this policy is language about being the lowest level of due process in handling conflicts related to students, staff, faculty, etc. Chairs work collegially and collaboratively to promote department programs to be in alignment with college and institutional missions and advocate for students, faculty, and staff. They routinely resolve conflict and ensure due process and other institutional policies are followed.</w:t>
            </w:r>
          </w:p>
        </w:tc>
      </w:tr>
      <w:tr w:rsidR="000D6D8E" w:rsidRPr="00E8107B" w:rsidTr="00E8107B">
        <w:tc>
          <w:tcPr>
            <w:tcW w:w="2970" w:type="dxa"/>
          </w:tcPr>
          <w:p w:rsidR="000D6D8E" w:rsidRPr="00E8107B" w:rsidRDefault="00E8107B" w:rsidP="00422018">
            <w:pPr>
              <w:rPr>
                <w:color w:val="7030A0"/>
                <w:sz w:val="20"/>
                <w:szCs w:val="20"/>
              </w:rPr>
            </w:pPr>
            <w:r w:rsidRPr="00E8107B">
              <w:rPr>
                <w:color w:val="7030A0"/>
                <w:sz w:val="20"/>
                <w:szCs w:val="20"/>
              </w:rPr>
              <w:t>IV</w:t>
            </w:r>
          </w:p>
        </w:tc>
        <w:tc>
          <w:tcPr>
            <w:tcW w:w="7650" w:type="dxa"/>
            <w:gridSpan w:val="2"/>
          </w:tcPr>
          <w:p w:rsidR="000D6D8E" w:rsidRPr="00E8107B" w:rsidRDefault="00E8107B" w:rsidP="00422018">
            <w:pPr>
              <w:rPr>
                <w:color w:val="7030A0"/>
                <w:sz w:val="20"/>
                <w:szCs w:val="20"/>
              </w:rPr>
            </w:pPr>
            <w:r w:rsidRPr="00E8107B">
              <w:rPr>
                <w:color w:val="7030A0"/>
                <w:sz w:val="20"/>
                <w:szCs w:val="20"/>
              </w:rPr>
              <w:t>I think it is unnecessary to add this section and item 1 below was revised from the current PPM. I included the current language and new item 9 in the section II on responsibilities to the department. I feel that the duties of a department chair are already extensive enough for a 10-month contract, $3,000 stipend, and 50% teaching load reduction. If the institution wants to look at changing the current model of load and pay then additional duties could be added. Also, as the job title indicates department chairs have primary responsibility to the department not the community.</w:t>
            </w:r>
          </w:p>
        </w:tc>
      </w:tr>
    </w:tbl>
    <w:p w:rsidR="00422018" w:rsidRPr="00E8107B" w:rsidRDefault="00422018" w:rsidP="00422018">
      <w:pPr>
        <w:rPr>
          <w:color w:val="7030A0"/>
          <w:sz w:val="20"/>
          <w:szCs w:val="20"/>
        </w:rPr>
      </w:pPr>
      <w:r w:rsidRPr="00E8107B">
        <w:rPr>
          <w:color w:val="7030A0"/>
          <w:sz w:val="20"/>
          <w:szCs w:val="20"/>
        </w:rPr>
        <w:t>*Items in purple were suggested by one faculty and supported by another</w:t>
      </w:r>
    </w:p>
    <w:p w:rsidR="00422018" w:rsidRPr="00E8107B" w:rsidRDefault="00E8107B" w:rsidP="00422018">
      <w:pPr>
        <w:jc w:val="center"/>
        <w:rPr>
          <w:b/>
          <w:color w:val="3B3838" w:themeColor="background2" w:themeShade="40"/>
          <w:sz w:val="20"/>
          <w:szCs w:val="20"/>
        </w:rPr>
      </w:pPr>
      <w:r w:rsidRPr="00E8107B">
        <w:rPr>
          <w:b/>
          <w:color w:val="3B3838" w:themeColor="background2" w:themeShade="40"/>
          <w:sz w:val="20"/>
          <w:szCs w:val="20"/>
        </w:rPr>
        <w:lastRenderedPageBreak/>
        <w:t>Response to CRAO charges first attempt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3748"/>
        <w:gridCol w:w="5235"/>
      </w:tblGrid>
      <w:tr w:rsidR="00E8107B" w:rsidRPr="00E8107B" w:rsidTr="00977F10">
        <w:trPr>
          <w:trHeight w:val="300"/>
        </w:trPr>
        <w:tc>
          <w:tcPr>
            <w:tcW w:w="1092" w:type="dxa"/>
            <w:shd w:val="clear" w:color="auto" w:fill="auto"/>
            <w:noWrap/>
            <w:vAlign w:val="bottom"/>
            <w:hideMark/>
          </w:tcPr>
          <w:p w:rsidR="00E8107B" w:rsidRPr="00E8107B" w:rsidRDefault="00E8107B" w:rsidP="00977F10">
            <w:pPr>
              <w:spacing w:after="0" w:line="240" w:lineRule="auto"/>
              <w:rPr>
                <w:rFonts w:eastAsia="Times New Roman" w:cs="Times New Roman"/>
                <w:b/>
                <w:bCs/>
                <w:color w:val="3B3838" w:themeColor="background2" w:themeShade="40"/>
                <w:sz w:val="20"/>
                <w:szCs w:val="20"/>
              </w:rPr>
            </w:pPr>
            <w:r w:rsidRPr="00E8107B">
              <w:rPr>
                <w:rFonts w:eastAsia="Times New Roman" w:cs="Times New Roman"/>
                <w:b/>
                <w:bCs/>
                <w:color w:val="3B3838" w:themeColor="background2" w:themeShade="40"/>
                <w:sz w:val="20"/>
                <w:szCs w:val="20"/>
              </w:rPr>
              <w:t>Response</w:t>
            </w:r>
          </w:p>
        </w:tc>
        <w:tc>
          <w:tcPr>
            <w:tcW w:w="3748" w:type="dxa"/>
            <w:shd w:val="clear" w:color="auto" w:fill="auto"/>
            <w:vAlign w:val="bottom"/>
            <w:hideMark/>
          </w:tcPr>
          <w:p w:rsidR="00E8107B" w:rsidRPr="00E8107B" w:rsidRDefault="00E8107B" w:rsidP="00977F10">
            <w:pPr>
              <w:spacing w:after="0" w:line="240" w:lineRule="auto"/>
              <w:rPr>
                <w:rFonts w:eastAsia="Times New Roman" w:cs="Times New Roman"/>
                <w:b/>
                <w:bCs/>
                <w:color w:val="3B3838" w:themeColor="background2" w:themeShade="40"/>
                <w:sz w:val="20"/>
                <w:szCs w:val="20"/>
              </w:rPr>
            </w:pPr>
            <w:r w:rsidRPr="00E8107B">
              <w:rPr>
                <w:rFonts w:eastAsia="Times New Roman" w:cs="Times New Roman"/>
                <w:b/>
                <w:bCs/>
                <w:color w:val="3B3838" w:themeColor="background2" w:themeShade="40"/>
                <w:sz w:val="20"/>
                <w:szCs w:val="20"/>
              </w:rPr>
              <w:t>YES</w:t>
            </w:r>
          </w:p>
        </w:tc>
        <w:tc>
          <w:tcPr>
            <w:tcW w:w="5235" w:type="dxa"/>
            <w:shd w:val="clear" w:color="auto" w:fill="auto"/>
            <w:vAlign w:val="bottom"/>
            <w:hideMark/>
          </w:tcPr>
          <w:p w:rsidR="00E8107B" w:rsidRPr="00E8107B" w:rsidRDefault="00E8107B" w:rsidP="00977F10">
            <w:pPr>
              <w:spacing w:after="0" w:line="240" w:lineRule="auto"/>
              <w:rPr>
                <w:rFonts w:eastAsia="Times New Roman" w:cs="Times New Roman"/>
                <w:b/>
                <w:bCs/>
                <w:color w:val="3B3838" w:themeColor="background2" w:themeShade="40"/>
                <w:sz w:val="20"/>
                <w:szCs w:val="20"/>
              </w:rPr>
            </w:pPr>
            <w:r w:rsidRPr="00E8107B">
              <w:rPr>
                <w:rFonts w:eastAsia="Times New Roman" w:cs="Times New Roman"/>
                <w:b/>
                <w:bCs/>
                <w:color w:val="3B3838" w:themeColor="background2" w:themeShade="40"/>
                <w:sz w:val="20"/>
                <w:szCs w:val="20"/>
              </w:rPr>
              <w:t>NO</w:t>
            </w:r>
          </w:p>
        </w:tc>
      </w:tr>
      <w:tr w:rsidR="00E8107B" w:rsidRPr="00E8107B" w:rsidTr="00977F10">
        <w:trPr>
          <w:trHeight w:val="300"/>
        </w:trPr>
        <w:tc>
          <w:tcPr>
            <w:tcW w:w="1092" w:type="dxa"/>
            <w:shd w:val="clear" w:color="auto" w:fill="auto"/>
            <w:noWrap/>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bookmarkStart w:id="0" w:name="_GoBack"/>
            <w:bookmarkEnd w:id="0"/>
          </w:p>
        </w:tc>
        <w:tc>
          <w:tcPr>
            <w:tcW w:w="3748" w:type="dxa"/>
            <w:shd w:val="clear" w:color="auto" w:fill="auto"/>
            <w:vAlign w:val="bottom"/>
            <w:hideMark/>
          </w:tcPr>
          <w:p w:rsidR="00E8107B" w:rsidRPr="00E8107B" w:rsidRDefault="00E8107B" w:rsidP="00977F10">
            <w:pPr>
              <w:spacing w:after="0" w:line="240" w:lineRule="auto"/>
              <w:jc w:val="right"/>
              <w:rPr>
                <w:rFonts w:eastAsia="Times New Roman" w:cs="Times New Roman"/>
                <w:color w:val="3B3838" w:themeColor="background2" w:themeShade="40"/>
                <w:sz w:val="20"/>
                <w:szCs w:val="20"/>
              </w:rPr>
            </w:pPr>
            <w:r w:rsidRPr="00E8107B">
              <w:rPr>
                <w:rFonts w:eastAsia="Times New Roman" w:cs="Times New Roman"/>
                <w:color w:val="3B3838" w:themeColor="background2" w:themeShade="40"/>
                <w:sz w:val="20"/>
                <w:szCs w:val="20"/>
              </w:rPr>
              <w:t>17</w:t>
            </w:r>
          </w:p>
        </w:tc>
        <w:tc>
          <w:tcPr>
            <w:tcW w:w="5235" w:type="dxa"/>
            <w:shd w:val="clear" w:color="auto" w:fill="auto"/>
            <w:vAlign w:val="bottom"/>
            <w:hideMark/>
          </w:tcPr>
          <w:p w:rsidR="00E8107B" w:rsidRPr="00E8107B" w:rsidRDefault="00E8107B" w:rsidP="00977F10">
            <w:pPr>
              <w:spacing w:after="0" w:line="240" w:lineRule="auto"/>
              <w:jc w:val="right"/>
              <w:rPr>
                <w:rFonts w:eastAsia="Times New Roman" w:cs="Times New Roman"/>
                <w:color w:val="3B3838" w:themeColor="background2" w:themeShade="40"/>
                <w:sz w:val="20"/>
                <w:szCs w:val="20"/>
              </w:rPr>
            </w:pPr>
            <w:r w:rsidRPr="00E8107B">
              <w:rPr>
                <w:rFonts w:eastAsia="Times New Roman" w:cs="Times New Roman"/>
                <w:color w:val="3B3838" w:themeColor="background2" w:themeShade="40"/>
                <w:sz w:val="20"/>
                <w:szCs w:val="20"/>
              </w:rPr>
              <w:t>5</w:t>
            </w:r>
          </w:p>
        </w:tc>
      </w:tr>
      <w:tr w:rsidR="00E8107B" w:rsidRPr="00E8107B" w:rsidTr="00977F10">
        <w:trPr>
          <w:trHeight w:val="300"/>
        </w:trPr>
        <w:tc>
          <w:tcPr>
            <w:tcW w:w="1092" w:type="dxa"/>
            <w:shd w:val="clear" w:color="auto" w:fill="auto"/>
            <w:noWrap/>
            <w:vAlign w:val="bottom"/>
            <w:hideMark/>
          </w:tcPr>
          <w:p w:rsidR="00E8107B" w:rsidRPr="00E8107B" w:rsidRDefault="00E8107B" w:rsidP="00977F10">
            <w:pPr>
              <w:spacing w:after="0" w:line="240" w:lineRule="auto"/>
              <w:rPr>
                <w:rFonts w:eastAsia="Times New Roman" w:cs="Times New Roman"/>
                <w:b/>
                <w:bCs/>
                <w:color w:val="3B3838" w:themeColor="background2" w:themeShade="40"/>
                <w:sz w:val="20"/>
                <w:szCs w:val="20"/>
              </w:rPr>
            </w:pPr>
            <w:r w:rsidRPr="00E8107B">
              <w:rPr>
                <w:rFonts w:eastAsia="Times New Roman" w:cs="Times New Roman"/>
                <w:b/>
                <w:bCs/>
                <w:color w:val="3B3838" w:themeColor="background2" w:themeShade="40"/>
                <w:sz w:val="20"/>
                <w:szCs w:val="20"/>
              </w:rPr>
              <w:t>Feedback</w:t>
            </w:r>
          </w:p>
        </w:tc>
        <w:tc>
          <w:tcPr>
            <w:tcW w:w="3748" w:type="dxa"/>
            <w:shd w:val="clear" w:color="auto" w:fill="auto"/>
            <w:vAlign w:val="bottom"/>
            <w:hideMark/>
          </w:tcPr>
          <w:p w:rsidR="00E8107B" w:rsidRPr="00E8107B" w:rsidRDefault="00E8107B" w:rsidP="00977F10">
            <w:pPr>
              <w:spacing w:after="0" w:line="240" w:lineRule="auto"/>
              <w:rPr>
                <w:rFonts w:eastAsia="Times New Roman" w:cs="Times New Roman"/>
                <w:b/>
                <w:bCs/>
                <w:color w:val="3B3838" w:themeColor="background2" w:themeShade="40"/>
                <w:sz w:val="20"/>
                <w:szCs w:val="20"/>
              </w:rPr>
            </w:pPr>
          </w:p>
        </w:tc>
        <w:tc>
          <w:tcPr>
            <w:tcW w:w="5235"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r>
      <w:tr w:rsidR="00E8107B" w:rsidRPr="00E8107B" w:rsidTr="00977F10">
        <w:trPr>
          <w:trHeight w:val="503"/>
        </w:trPr>
        <w:tc>
          <w:tcPr>
            <w:tcW w:w="1092" w:type="dxa"/>
            <w:shd w:val="clear" w:color="auto" w:fill="auto"/>
            <w:noWrap/>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3748" w:type="dxa"/>
            <w:shd w:val="clear" w:color="auto" w:fill="auto"/>
            <w:vAlign w:val="bottom"/>
            <w:hideMark/>
          </w:tcPr>
          <w:p w:rsidR="00E8107B" w:rsidRPr="00E8107B" w:rsidRDefault="00E8107B" w:rsidP="00977F10">
            <w:pPr>
              <w:spacing w:after="0" w:line="240" w:lineRule="auto"/>
              <w:rPr>
                <w:rFonts w:eastAsia="Times New Roman" w:cs="Arial"/>
                <w:color w:val="3B3838" w:themeColor="background2" w:themeShade="40"/>
                <w:sz w:val="20"/>
                <w:szCs w:val="20"/>
              </w:rPr>
            </w:pPr>
            <w:r w:rsidRPr="00E8107B">
              <w:rPr>
                <w:rFonts w:eastAsia="Times New Roman" w:cs="Arial"/>
                <w:color w:val="3B3838" w:themeColor="background2" w:themeShade="40"/>
                <w:sz w:val="20"/>
                <w:szCs w:val="20"/>
              </w:rPr>
              <w:t>I do like the organization scheme and the emphasis on community outreach</w:t>
            </w:r>
          </w:p>
        </w:tc>
        <w:tc>
          <w:tcPr>
            <w:tcW w:w="5235"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r w:rsidRPr="00E8107B">
              <w:rPr>
                <w:rFonts w:eastAsia="Times New Roman" w:cs="Times New Roman"/>
                <w:color w:val="3B3838" w:themeColor="background2" w:themeShade="40"/>
                <w:sz w:val="20"/>
                <w:szCs w:val="20"/>
              </w:rPr>
              <w:t>Other duties as deemed necessary seems too vague</w:t>
            </w:r>
          </w:p>
        </w:tc>
      </w:tr>
      <w:tr w:rsidR="00E8107B" w:rsidRPr="00E8107B" w:rsidTr="00977F10">
        <w:trPr>
          <w:trHeight w:val="3932"/>
        </w:trPr>
        <w:tc>
          <w:tcPr>
            <w:tcW w:w="1092" w:type="dxa"/>
            <w:shd w:val="clear" w:color="auto" w:fill="auto"/>
            <w:noWrap/>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3748"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5235" w:type="dxa"/>
            <w:shd w:val="clear" w:color="auto" w:fill="auto"/>
            <w:vAlign w:val="center"/>
            <w:hideMark/>
          </w:tcPr>
          <w:p w:rsidR="00E8107B" w:rsidRPr="00E8107B" w:rsidRDefault="00E8107B" w:rsidP="00977F10">
            <w:pPr>
              <w:spacing w:after="0" w:line="240" w:lineRule="auto"/>
              <w:rPr>
                <w:rFonts w:eastAsia="Times New Roman" w:cs="Arial"/>
                <w:color w:val="3B3838" w:themeColor="background2" w:themeShade="40"/>
                <w:sz w:val="20"/>
                <w:szCs w:val="20"/>
              </w:rPr>
            </w:pPr>
            <w:r w:rsidRPr="00E8107B">
              <w:rPr>
                <w:rFonts w:eastAsia="Times New Roman" w:cs="Arial"/>
                <w:color w:val="3B3838" w:themeColor="background2" w:themeShade="40"/>
                <w:sz w:val="20"/>
                <w:szCs w:val="20"/>
              </w:rPr>
              <w:t>When I read through the policy the first time, I liked the changes but realized that, had I been provided the opportunity, in due course, I would have taken some time to suggest revisions, raise concerns, etc. Given the opportunity, I would have even given thought to how the existing policy reconciles to what I actually do in the course of my job, again, informing possible recommendations to the Committee.--I am going to object to the policy to a small extent based on content, but significantly on the basis of process. --My recommendation is to take more than one step back and solicit, in a transparent way, input from department chairs - fully expecting that changes will need to be made based on those recommendations (after all, we are a strongly opinionated and experienced group.)--I believe there was a serious misstep on the part of CRAO in trying to revise a policy without input from the affected parties.</w:t>
            </w:r>
          </w:p>
        </w:tc>
      </w:tr>
      <w:tr w:rsidR="00E8107B" w:rsidRPr="00E8107B" w:rsidTr="00977F10">
        <w:trPr>
          <w:trHeight w:val="300"/>
        </w:trPr>
        <w:tc>
          <w:tcPr>
            <w:tcW w:w="1092" w:type="dxa"/>
            <w:shd w:val="clear" w:color="auto" w:fill="auto"/>
            <w:noWrap/>
            <w:vAlign w:val="bottom"/>
            <w:hideMark/>
          </w:tcPr>
          <w:p w:rsidR="00E8107B" w:rsidRPr="00E8107B" w:rsidRDefault="00E8107B" w:rsidP="00977F10">
            <w:pPr>
              <w:spacing w:after="0" w:line="240" w:lineRule="auto"/>
              <w:rPr>
                <w:rFonts w:eastAsia="Times New Roman" w:cs="Arial"/>
                <w:color w:val="3B3838" w:themeColor="background2" w:themeShade="40"/>
                <w:sz w:val="20"/>
                <w:szCs w:val="20"/>
              </w:rPr>
            </w:pPr>
          </w:p>
        </w:tc>
        <w:tc>
          <w:tcPr>
            <w:tcW w:w="3748"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5235"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r w:rsidRPr="00E8107B">
              <w:rPr>
                <w:rFonts w:eastAsia="Times New Roman" w:cs="Times New Roman"/>
                <w:color w:val="3B3838" w:themeColor="background2" w:themeShade="40"/>
                <w:sz w:val="20"/>
                <w:szCs w:val="20"/>
              </w:rPr>
              <w:t>2nd on the previous comment</w:t>
            </w:r>
          </w:p>
        </w:tc>
      </w:tr>
      <w:tr w:rsidR="00E8107B" w:rsidRPr="00E8107B" w:rsidTr="00977F10">
        <w:trPr>
          <w:trHeight w:val="1493"/>
        </w:trPr>
        <w:tc>
          <w:tcPr>
            <w:tcW w:w="1092" w:type="dxa"/>
            <w:shd w:val="clear" w:color="auto" w:fill="auto"/>
            <w:noWrap/>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3748"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5235" w:type="dxa"/>
            <w:shd w:val="clear" w:color="auto" w:fill="auto"/>
            <w:vAlign w:val="bottom"/>
            <w:hideMark/>
          </w:tcPr>
          <w:p w:rsidR="00E8107B" w:rsidRPr="00E8107B" w:rsidRDefault="00E8107B" w:rsidP="00977F10">
            <w:pPr>
              <w:spacing w:after="0" w:line="240" w:lineRule="auto"/>
              <w:rPr>
                <w:rFonts w:eastAsia="Times New Roman" w:cs="Arial"/>
                <w:color w:val="3B3838" w:themeColor="background2" w:themeShade="40"/>
                <w:sz w:val="20"/>
                <w:szCs w:val="20"/>
              </w:rPr>
            </w:pPr>
            <w:r w:rsidRPr="00E8107B">
              <w:rPr>
                <w:rFonts w:eastAsia="Times New Roman" w:cs="Arial"/>
                <w:color w:val="3B3838" w:themeColor="background2" w:themeShade="40"/>
                <w:sz w:val="20"/>
                <w:szCs w:val="20"/>
              </w:rPr>
              <w:t>I do not agree with the addition of Section IV to PPM 1-18.  Department chairs have to meet all of the duties of faculty (teaching, scholarship, service) plus the chair duties.  Even with re-assigned time, there are not enough hours in the day for the suggested additional duties.</w:t>
            </w:r>
          </w:p>
        </w:tc>
      </w:tr>
      <w:tr w:rsidR="00E8107B" w:rsidRPr="00E8107B" w:rsidTr="00977F10">
        <w:trPr>
          <w:trHeight w:val="3320"/>
        </w:trPr>
        <w:tc>
          <w:tcPr>
            <w:tcW w:w="1092" w:type="dxa"/>
            <w:shd w:val="clear" w:color="auto" w:fill="auto"/>
            <w:noWrap/>
            <w:vAlign w:val="bottom"/>
            <w:hideMark/>
          </w:tcPr>
          <w:p w:rsidR="00E8107B" w:rsidRPr="00E8107B" w:rsidRDefault="00E8107B" w:rsidP="00977F10">
            <w:pPr>
              <w:spacing w:after="0" w:line="240" w:lineRule="auto"/>
              <w:rPr>
                <w:rFonts w:eastAsia="Times New Roman" w:cs="Arial"/>
                <w:color w:val="3B3838" w:themeColor="background2" w:themeShade="40"/>
                <w:sz w:val="20"/>
                <w:szCs w:val="20"/>
              </w:rPr>
            </w:pPr>
          </w:p>
        </w:tc>
        <w:tc>
          <w:tcPr>
            <w:tcW w:w="3748" w:type="dxa"/>
            <w:shd w:val="clear" w:color="auto" w:fill="auto"/>
            <w:vAlign w:val="bottom"/>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p>
        </w:tc>
        <w:tc>
          <w:tcPr>
            <w:tcW w:w="5235" w:type="dxa"/>
            <w:shd w:val="clear" w:color="auto" w:fill="auto"/>
            <w:vAlign w:val="center"/>
            <w:hideMark/>
          </w:tcPr>
          <w:p w:rsidR="00E8107B" w:rsidRPr="00E8107B" w:rsidRDefault="00E8107B" w:rsidP="00977F10">
            <w:pPr>
              <w:spacing w:after="0" w:line="240" w:lineRule="auto"/>
              <w:rPr>
                <w:rFonts w:eastAsia="Times New Roman" w:cs="Times New Roman"/>
                <w:color w:val="3B3838" w:themeColor="background2" w:themeShade="40"/>
                <w:sz w:val="20"/>
                <w:szCs w:val="20"/>
              </w:rPr>
            </w:pPr>
            <w:r w:rsidRPr="00E8107B">
              <w:rPr>
                <w:rFonts w:eastAsia="Times New Roman" w:cs="Times New Roman"/>
                <w:color w:val="3B3838" w:themeColor="background2" w:themeShade="40"/>
                <w:sz w:val="20"/>
                <w:szCs w:val="20"/>
              </w:rPr>
              <w:t>I think that the process could have been better. I've engaged in rewriting job descriptions many times. I've never done it without </w:t>
            </w:r>
            <w:r w:rsidRPr="00E8107B">
              <w:rPr>
                <w:rFonts w:eastAsia="Times New Roman" w:cs="Times New Roman"/>
                <w:color w:val="3B3838" w:themeColor="background2" w:themeShade="40"/>
                <w:sz w:val="20"/>
                <w:szCs w:val="20"/>
                <w:u w:val="single"/>
              </w:rPr>
              <w:t>front-end input</w:t>
            </w:r>
            <w:r w:rsidRPr="00E8107B">
              <w:rPr>
                <w:rFonts w:eastAsia="Times New Roman" w:cs="Times New Roman"/>
                <w:color w:val="3B3838" w:themeColor="background2" w:themeShade="40"/>
                <w:sz w:val="20"/>
                <w:szCs w:val="20"/>
              </w:rPr>
              <w:t> from people in the job and supervisors. Post hoc input doesn't have the same effect in the process, as it's often based on reaction rather than thoughtful change. -- I'd like to see this process slowed down &amp; a couple of deans and several chairs meet to talk through what else might be appropriately included. For example, I certainly expect my chairs to work to implement college policies and initiatives as a major part of their duties. -- Email just doesn't offer the same richness of discussion. I hope that we can have an open forum, at least, that will generate the best possible change in the PPM.</w:t>
            </w:r>
          </w:p>
        </w:tc>
      </w:tr>
    </w:tbl>
    <w:p w:rsidR="00E8107B" w:rsidRPr="00E8107B" w:rsidRDefault="00E8107B" w:rsidP="00422018">
      <w:pPr>
        <w:jc w:val="center"/>
        <w:rPr>
          <w:b/>
          <w:sz w:val="20"/>
          <w:szCs w:val="20"/>
        </w:rPr>
      </w:pPr>
    </w:p>
    <w:sectPr w:rsidR="00E8107B" w:rsidRPr="00E8107B" w:rsidSect="00E8107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946DA"/>
    <w:multiLevelType w:val="hybridMultilevel"/>
    <w:tmpl w:val="AC8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D33F6"/>
    <w:multiLevelType w:val="hybridMultilevel"/>
    <w:tmpl w:val="2BF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18"/>
    <w:rsid w:val="000D6D8E"/>
    <w:rsid w:val="00422018"/>
    <w:rsid w:val="0048785F"/>
    <w:rsid w:val="00A04957"/>
    <w:rsid w:val="00E8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A5B47-2021-43C3-9758-4AF92D8F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22018"/>
    <w:pPr>
      <w:spacing w:line="240" w:lineRule="auto"/>
    </w:pPr>
    <w:rPr>
      <w:sz w:val="20"/>
      <w:szCs w:val="20"/>
    </w:rPr>
  </w:style>
  <w:style w:type="character" w:customStyle="1" w:styleId="CommentTextChar">
    <w:name w:val="Comment Text Char"/>
    <w:basedOn w:val="DefaultParagraphFont"/>
    <w:link w:val="CommentText"/>
    <w:uiPriority w:val="99"/>
    <w:rsid w:val="00422018"/>
    <w:rPr>
      <w:sz w:val="20"/>
      <w:szCs w:val="20"/>
    </w:rPr>
  </w:style>
  <w:style w:type="paragraph" w:styleId="ListParagraph">
    <w:name w:val="List Paragraph"/>
    <w:basedOn w:val="Normal"/>
    <w:uiPriority w:val="34"/>
    <w:qFormat/>
    <w:rsid w:val="00422018"/>
    <w:pPr>
      <w:ind w:left="720"/>
      <w:contextualSpacing/>
    </w:pPr>
  </w:style>
  <w:style w:type="character" w:styleId="CommentReference">
    <w:name w:val="annotation reference"/>
    <w:basedOn w:val="DefaultParagraphFont"/>
    <w:uiPriority w:val="99"/>
    <w:semiHidden/>
    <w:unhideWhenUsed/>
    <w:rsid w:val="000D6D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A</dc:creator>
  <cp:keywords/>
  <dc:description/>
  <cp:lastModifiedBy>Review A</cp:lastModifiedBy>
  <cp:revision>1</cp:revision>
  <dcterms:created xsi:type="dcterms:W3CDTF">2016-04-01T19:21:00Z</dcterms:created>
  <dcterms:modified xsi:type="dcterms:W3CDTF">2016-04-01T19:45:00Z</dcterms:modified>
</cp:coreProperties>
</file>