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Quantitative Literacy and Humanities (WSU 2350)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Quantitative Literacy and Humanities. Specifically a quantitatively literate person should be able to: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Interpret mathematical models such as formulas, graphs, tables, and schematics, and draw inferences from them.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Represent mathematical information symbolically, visually, numerically, and verbally.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arithmetical, algebraic, geometric, and statistical methods to solve problems.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Estimate and check answers to mathematical problems in order to determine reasonableness, identify alternatives, and select optimal results.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Recognize that mathematical and statistical methods have limits.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 student also will: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knowledge of diverse philosophical, communicative, linguistic, or literary traditions, as well as of key themes, concepts, issues, terminology, and ethical standards in humanities disciplines. 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analyze cultural artifacts within a given discipline, and, when appropriate, across disciplines, time periods, and cultures.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the ability to effectively communicate their understanding of humanities materials in written, oral, or graphic forms.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6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