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Quantitative Literacy and Creative Arts (WSU 2340)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Quantitative Literacy and Creative Arts. Specifically a quantitatively literate person should be able to:</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Interpret mathematical models such as formulas, graphs, tables, and schematics, and draw inferences from them.</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Represent mathematical information symbolically, visually, numerically, and verbally.</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Use arithmetical, algebraic, geometric, and statistical methods to solve problems.</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Estimate and check answers to mathematical problems in order to determine reasonableness, identify alternatives, and select optimal results. </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u w:val="none"/>
        </w:rPr>
      </w:pPr>
      <w:r w:rsidDel="00000000" w:rsidR="00000000" w:rsidRPr="00000000">
        <w:rPr>
          <w:rFonts w:ascii="Garamond" w:cs="Garamond" w:eastAsia="Garamond" w:hAnsi="Garamond"/>
          <w:sz w:val="24"/>
          <w:rtl w:val="0"/>
        </w:rPr>
        <w:t xml:space="preserve">Recognize that mathematical and statistical methods have limits.</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4"/>
          <w:rtl w:val="0"/>
        </w:rPr>
        <w:t xml:space="preserve">A student also will:</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2"/>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Students will 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