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Humanities and Life Sciences (WSU 1580)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Humanities and Life Sciences. Specifically a student will: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knowledge of diverse philosophical, communicative, linguistic, or literary traditions, as well as of key themes, concepts, issues, terminology, and ethical standards in humanities disciplines. 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analyze cultural artifacts within a given discipline, and, when appropriate, across disciplines, time periods, and cultures.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the ability to effectively communicate their understanding of humanities materials in written, oral, or graphic 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student also will demonstrate an understanding of the following characteristics of life: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Levels of organization: All life shares an organization that is based on molecules and cells and extends to organisms and ecosystems.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Metabolism and homeostasis: Living things obtain and use energy, and maintain homeostasis via organized chemical reactions known as metabolism.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Genetics and evolution: Shared genetic processes and evolution by natural selection are universal features of all life.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Ecological interactions: All organisms, including humans, interact with their environment and other living organisms.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