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Composition and Physical Sciences (WSU 2170)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Composition and Physical Sciences.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 demonstrate an understanding of the following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 features of the physical world: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Organization of systems: The universe is scientifically understandable in terms of interconnected systems. The systems evolve over time according to basic physical laws.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Matter: Matter comprises an important component of the universe, and has physical properties that can be described over a range of scales.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Energy: Interactions within the universe can be described in terms of energy exchange and conservation.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Forces: Equilibrium and change are determined by forces acting at all organizational levels.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