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Composition and Life Sciences (WSU 2180)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Composition and Life Sciences.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Describe complex ideas, positions, and perspectives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an individual text’s meaning and the broader conversation in which that text is taking part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 a variety of textual genres and styles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Rhetoric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technologies and language appropriate to purpose and audience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Working with Sources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Identify connections between texts and among related ideas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Cite sources accurately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Summarize, paraphrase, and use quotations appropriately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appropriate to the project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to make arguments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assignments with a clear thesis or point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that is structurally and thematically coherent and unified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appropriate syntax, grammar and spelling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Furthermore, a student will 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the following characteristics of life: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Levels of organization: All life shares an organization that is based on molecules and cells and extends to organisms and ecosystems.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Metabolism and homeostasis: Living things obtain and use energy, and maintain homeostasis via organized chemical reactions known as metabolism.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Genetics and evolution: Shared genetic processes and evolution by natural selection are universal features of all life.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Ecological interactions: All organisms, including humans, interact with their environment and other living organisms.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