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24"/>
          <w:u w:val="single"/>
          <w:rtl w:val="0"/>
        </w:rPr>
        <w:t xml:space="preserve">Perspectives in Physical Sciences and Creative Arts (WSU 1470)</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Syllabus</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Credits: 3-6</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Course Description</w:t>
      </w:r>
      <w:r w:rsidDel="00000000" w:rsidR="00000000" w:rsidRPr="00000000">
        <w:rPr>
          <w:rFonts w:ascii="Garamond" w:cs="Garamond" w:eastAsia="Garamond" w:hAnsi="Garamond"/>
          <w:sz w:val="24"/>
          <w:rtl w:val="0"/>
        </w:rPr>
        <w:t xml:space="preserve">: This course will address ...</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Text</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Grading</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Student Learning Outcomes</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sz w:val="24"/>
          <w:rtl w:val="0"/>
        </w:rPr>
        <w:t xml:space="preserve">This general education course will meet the learning outcomes for Physical Sciences and Creative Arts. Specifically a student completing this course will demonstrate an understanding of the following features of the physical world:</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Organization of systems: The universe is scientifically understandable in terms of interconnected systems. The systems evolve over time according to basic physical laws.</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Matter: Matter comprises an important component of the universe, and has physical properties that can be described over a range of scales.</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Energy: Interactions within the universe can be described in terms of energy exchange and conservation.</w:t>
      </w:r>
    </w:p>
    <w:p w:rsidR="00000000" w:rsidDel="00000000" w:rsidP="00000000" w:rsidRDefault="00000000" w:rsidRPr="00000000">
      <w:pPr>
        <w:numPr>
          <w:ilvl w:val="0"/>
          <w:numId w:val="1"/>
        </w:numPr>
        <w:spacing w:after="0" w:lineRule="auto"/>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Forces: Equilibrium and change are determined by forces acting at all organizational levels.  </w:t>
      </w:r>
    </w:p>
    <w:p w:rsidR="00000000" w:rsidDel="00000000" w:rsidP="00000000" w:rsidRDefault="00000000" w:rsidRPr="00000000">
      <w:pPr>
        <w:contextualSpacing w:val="0"/>
      </w:pPr>
      <w:r w:rsidDel="00000000" w:rsidR="00000000" w:rsidRPr="00000000">
        <w:rPr>
          <w:rFonts w:ascii="Garamond" w:cs="Garamond" w:eastAsia="Garamond" w:hAnsi="Garamond"/>
          <w:sz w:val="24"/>
          <w:rtl w:val="0"/>
        </w:rPr>
        <w:t xml:space="preserve">Also a student will: </w:t>
      </w:r>
    </w:p>
    <w:p w:rsidR="00000000" w:rsidDel="00000000" w:rsidP="00000000" w:rsidRDefault="00000000" w:rsidRPr="00000000">
      <w:pPr>
        <w:numPr>
          <w:ilvl w:val="0"/>
          <w:numId w:val="2"/>
        </w:numPr>
        <w:spacing w:after="0" w:lineRule="auto"/>
        <w:ind w:left="720" w:hanging="360"/>
        <w:rPr>
          <w:rFonts w:ascii="Garamond" w:cs="Garamond" w:eastAsia="Garamond" w:hAnsi="Garamond"/>
          <w:sz w:val="24"/>
        </w:rPr>
      </w:pPr>
      <w:r w:rsidDel="00000000" w:rsidR="00000000" w:rsidRPr="00000000">
        <w:rPr>
          <w:rFonts w:ascii="Garamond" w:cs="Garamond" w:eastAsia="Garamond" w:hAnsi="Garamond"/>
          <w:sz w:val="24"/>
          <w:rtl w:val="0"/>
        </w:rPr>
        <w:t xml:space="preserve">create works of art and/or increase their understanding of creative processes in writing, visual arts, interactive entertainment, or performing arts.</w:t>
      </w:r>
    </w:p>
    <w:p w:rsidR="00000000" w:rsidDel="00000000" w:rsidP="00000000" w:rsidRDefault="00000000" w:rsidRPr="00000000">
      <w:pPr>
        <w:numPr>
          <w:ilvl w:val="0"/>
          <w:numId w:val="2"/>
        </w:numPr>
        <w:spacing w:after="0" w:lineRule="auto"/>
        <w:ind w:left="720" w:hanging="360"/>
        <w:rPr>
          <w:rFonts w:ascii="Garamond" w:cs="Garamond" w:eastAsia="Garamond" w:hAnsi="Garamond"/>
          <w:sz w:val="24"/>
        </w:rPr>
      </w:pPr>
      <w:r w:rsidDel="00000000" w:rsidR="00000000" w:rsidRPr="00000000">
        <w:rPr>
          <w:rFonts w:ascii="Garamond" w:cs="Garamond" w:eastAsia="Garamond" w:hAnsi="Garamond"/>
          <w:sz w:val="24"/>
          <w:rtl w:val="0"/>
        </w:rPr>
        <w:t xml:space="preserve">demonstrate knowledge of key themes, concepts, issues, terminology and ethical standards employed in creative arts disciplines.  They will use this knowledge to analyze works of art from various traditions, time periods, and cultures.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aramond"/>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5"/>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