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32" w:rsidRPr="00677EBB" w:rsidRDefault="00813732" w:rsidP="009F2EC6">
      <w:pPr>
        <w:jc w:val="center"/>
        <w:rPr>
          <w:rFonts w:ascii="Helvetica" w:hAnsi="Helvetica"/>
          <w:b/>
        </w:rPr>
      </w:pPr>
      <w:bookmarkStart w:id="0" w:name="_GoBack"/>
      <w:bookmarkEnd w:id="0"/>
      <w:r w:rsidRPr="00677EBB">
        <w:rPr>
          <w:rFonts w:ascii="Helvetica" w:hAnsi="Helvetica"/>
          <w:b/>
        </w:rPr>
        <w:t>WSU Athletics Academic Report – 201</w:t>
      </w:r>
      <w:r w:rsidR="00B63723" w:rsidRPr="00677EBB">
        <w:rPr>
          <w:rFonts w:ascii="Helvetica" w:hAnsi="Helvetica"/>
          <w:b/>
        </w:rPr>
        <w:t>3</w:t>
      </w:r>
      <w:r w:rsidRPr="00677EBB">
        <w:rPr>
          <w:rFonts w:ascii="Helvetica" w:hAnsi="Helvetica"/>
          <w:b/>
        </w:rPr>
        <w:t>-201</w:t>
      </w:r>
      <w:r w:rsidR="00B63723" w:rsidRPr="00677EBB">
        <w:rPr>
          <w:rFonts w:ascii="Helvetica" w:hAnsi="Helvetica"/>
          <w:b/>
        </w:rPr>
        <w:t>4</w:t>
      </w:r>
    </w:p>
    <w:p w:rsidR="009F2EC6" w:rsidRPr="001926D2" w:rsidRDefault="009F2EC6" w:rsidP="009F2EC6">
      <w:pPr>
        <w:rPr>
          <w:rFonts w:ascii="Helvetica" w:hAnsi="Helvetica"/>
          <w:sz w:val="20"/>
        </w:rPr>
      </w:pPr>
    </w:p>
    <w:p w:rsidR="009F2EC6" w:rsidRPr="001926D2" w:rsidRDefault="009F2EC6" w:rsidP="009F2EC6">
      <w:pPr>
        <w:rPr>
          <w:rFonts w:ascii="Helvetica" w:hAnsi="Helvetica"/>
          <w:b/>
          <w:sz w:val="20"/>
          <w:u w:val="single"/>
        </w:rPr>
      </w:pPr>
      <w:r w:rsidRPr="001926D2">
        <w:rPr>
          <w:rFonts w:ascii="Helvetica" w:hAnsi="Helvetica"/>
          <w:b/>
          <w:sz w:val="20"/>
          <w:u w:val="single"/>
        </w:rPr>
        <w:t>APR Progress</w:t>
      </w:r>
    </w:p>
    <w:p w:rsidR="009F2EC6" w:rsidRPr="001926D2" w:rsidRDefault="009F2EC6" w:rsidP="009F2EC6">
      <w:pPr>
        <w:rPr>
          <w:rFonts w:ascii="Helvetica" w:hAnsi="Helvetica"/>
          <w:b/>
          <w:sz w:val="20"/>
          <w:u w:val="single"/>
        </w:rPr>
      </w:pPr>
    </w:p>
    <w:tbl>
      <w:tblPr>
        <w:tblW w:w="0" w:type="auto"/>
        <w:tblLook w:val="01E0" w:firstRow="1" w:lastRow="1" w:firstColumn="1" w:lastColumn="1" w:noHBand="0" w:noVBand="0"/>
      </w:tblPr>
      <w:tblGrid>
        <w:gridCol w:w="1973"/>
        <w:gridCol w:w="1350"/>
        <w:gridCol w:w="1371"/>
        <w:gridCol w:w="2161"/>
        <w:gridCol w:w="1350"/>
        <w:gridCol w:w="1371"/>
      </w:tblGrid>
      <w:tr w:rsidR="009F2EC6" w:rsidRPr="001926D2">
        <w:tc>
          <w:tcPr>
            <w:tcW w:w="2268" w:type="dxa"/>
            <w:vMerge w:val="restart"/>
            <w:shd w:val="clear" w:color="auto" w:fill="CCCCCC"/>
            <w:vAlign w:val="center"/>
          </w:tcPr>
          <w:p w:rsidR="009F2EC6" w:rsidRPr="001926D2" w:rsidRDefault="009F2EC6" w:rsidP="009F2EC6">
            <w:pPr>
              <w:jc w:val="center"/>
              <w:rPr>
                <w:rFonts w:ascii="Helvetica" w:hAnsi="Helvetica"/>
                <w:b/>
                <w:sz w:val="20"/>
                <w:szCs w:val="20"/>
              </w:rPr>
            </w:pPr>
            <w:r w:rsidRPr="001926D2">
              <w:rPr>
                <w:rFonts w:ascii="Helvetica" w:hAnsi="Helvetica"/>
                <w:b/>
                <w:sz w:val="20"/>
                <w:szCs w:val="20"/>
              </w:rPr>
              <w:t>Sport</w:t>
            </w:r>
          </w:p>
        </w:tc>
        <w:tc>
          <w:tcPr>
            <w:tcW w:w="3060" w:type="dxa"/>
            <w:gridSpan w:val="2"/>
            <w:shd w:val="clear" w:color="auto" w:fill="CCCCCC"/>
          </w:tcPr>
          <w:p w:rsidR="009F2EC6" w:rsidRPr="001926D2" w:rsidRDefault="009F2EC6" w:rsidP="009F2EC6">
            <w:pPr>
              <w:jc w:val="center"/>
              <w:rPr>
                <w:rFonts w:ascii="Helvetica" w:hAnsi="Helvetica"/>
                <w:b/>
                <w:sz w:val="20"/>
                <w:szCs w:val="20"/>
              </w:rPr>
            </w:pPr>
            <w:r w:rsidRPr="001926D2">
              <w:rPr>
                <w:rFonts w:ascii="Helvetica" w:hAnsi="Helvetica"/>
                <w:b/>
                <w:sz w:val="20"/>
                <w:szCs w:val="20"/>
              </w:rPr>
              <w:t>APR</w:t>
            </w:r>
          </w:p>
        </w:tc>
        <w:tc>
          <w:tcPr>
            <w:tcW w:w="2520" w:type="dxa"/>
            <w:vMerge w:val="restart"/>
            <w:shd w:val="clear" w:color="auto" w:fill="CCCCCC"/>
            <w:vAlign w:val="center"/>
          </w:tcPr>
          <w:p w:rsidR="009F2EC6" w:rsidRPr="001926D2" w:rsidRDefault="009F2EC6" w:rsidP="009F2EC6">
            <w:pPr>
              <w:jc w:val="center"/>
              <w:rPr>
                <w:rFonts w:ascii="Helvetica" w:hAnsi="Helvetica"/>
                <w:b/>
                <w:sz w:val="20"/>
                <w:szCs w:val="20"/>
              </w:rPr>
            </w:pPr>
            <w:r w:rsidRPr="001926D2">
              <w:rPr>
                <w:rFonts w:ascii="Helvetica" w:hAnsi="Helvetica"/>
                <w:b/>
                <w:sz w:val="20"/>
                <w:szCs w:val="20"/>
              </w:rPr>
              <w:t>Sport</w:t>
            </w:r>
          </w:p>
        </w:tc>
        <w:tc>
          <w:tcPr>
            <w:tcW w:w="3060" w:type="dxa"/>
            <w:gridSpan w:val="2"/>
            <w:shd w:val="clear" w:color="auto" w:fill="CCCCCC"/>
          </w:tcPr>
          <w:p w:rsidR="009F2EC6" w:rsidRPr="001926D2" w:rsidRDefault="009F2EC6" w:rsidP="009F2EC6">
            <w:pPr>
              <w:jc w:val="center"/>
              <w:rPr>
                <w:rFonts w:ascii="Helvetica" w:hAnsi="Helvetica"/>
                <w:b/>
                <w:sz w:val="20"/>
                <w:szCs w:val="20"/>
              </w:rPr>
            </w:pPr>
            <w:r w:rsidRPr="001926D2">
              <w:rPr>
                <w:rFonts w:ascii="Helvetica" w:hAnsi="Helvetica"/>
                <w:b/>
                <w:sz w:val="20"/>
                <w:szCs w:val="20"/>
              </w:rPr>
              <w:t>APR</w:t>
            </w:r>
          </w:p>
        </w:tc>
      </w:tr>
      <w:tr w:rsidR="009F2EC6" w:rsidRPr="001926D2">
        <w:trPr>
          <w:trHeight w:val="647"/>
        </w:trPr>
        <w:tc>
          <w:tcPr>
            <w:tcW w:w="2268" w:type="dxa"/>
            <w:vMerge/>
          </w:tcPr>
          <w:p w:rsidR="009F2EC6" w:rsidRPr="001926D2" w:rsidRDefault="009F2EC6">
            <w:pPr>
              <w:rPr>
                <w:rFonts w:ascii="Helvetica" w:hAnsi="Helvetica"/>
                <w:b/>
                <w:sz w:val="20"/>
                <w:szCs w:val="20"/>
              </w:rPr>
            </w:pPr>
          </w:p>
        </w:tc>
        <w:tc>
          <w:tcPr>
            <w:tcW w:w="1440" w:type="dxa"/>
            <w:vAlign w:val="center"/>
          </w:tcPr>
          <w:p w:rsidR="009F2EC6" w:rsidRPr="001926D2" w:rsidRDefault="009F2EC6" w:rsidP="009F2EC6">
            <w:pPr>
              <w:jc w:val="center"/>
              <w:rPr>
                <w:rFonts w:ascii="Helvetica" w:hAnsi="Helvetica"/>
                <w:b/>
                <w:sz w:val="20"/>
                <w:szCs w:val="20"/>
              </w:rPr>
            </w:pPr>
            <w:r w:rsidRPr="001926D2">
              <w:rPr>
                <w:rFonts w:ascii="Helvetica" w:hAnsi="Helvetica"/>
                <w:b/>
                <w:sz w:val="20"/>
                <w:szCs w:val="20"/>
              </w:rPr>
              <w:t xml:space="preserve">Multiyear </w:t>
            </w:r>
          </w:p>
          <w:p w:rsidR="009F2EC6" w:rsidRPr="001926D2" w:rsidRDefault="009F2EC6" w:rsidP="009F2EC6">
            <w:pPr>
              <w:jc w:val="center"/>
              <w:rPr>
                <w:rFonts w:ascii="Helvetica" w:hAnsi="Helvetica"/>
                <w:b/>
                <w:sz w:val="20"/>
                <w:szCs w:val="20"/>
              </w:rPr>
            </w:pPr>
            <w:r w:rsidRPr="001926D2">
              <w:rPr>
                <w:rFonts w:ascii="Helvetica" w:hAnsi="Helvetica"/>
                <w:b/>
                <w:sz w:val="20"/>
                <w:szCs w:val="20"/>
              </w:rPr>
              <w:t>Rate (N)</w:t>
            </w:r>
          </w:p>
        </w:tc>
        <w:tc>
          <w:tcPr>
            <w:tcW w:w="1620" w:type="dxa"/>
            <w:vAlign w:val="center"/>
          </w:tcPr>
          <w:p w:rsidR="009F2EC6" w:rsidRPr="001926D2" w:rsidRDefault="009F2EC6" w:rsidP="00B63723">
            <w:pPr>
              <w:jc w:val="center"/>
              <w:rPr>
                <w:rFonts w:ascii="Helvetica" w:hAnsi="Helvetica"/>
                <w:b/>
                <w:sz w:val="20"/>
                <w:szCs w:val="20"/>
              </w:rPr>
            </w:pPr>
            <w:r w:rsidRPr="001926D2">
              <w:rPr>
                <w:rFonts w:ascii="Helvetica" w:hAnsi="Helvetica"/>
                <w:b/>
                <w:sz w:val="20"/>
                <w:szCs w:val="20"/>
              </w:rPr>
              <w:t>201</w:t>
            </w:r>
            <w:r w:rsidR="00B63723">
              <w:rPr>
                <w:rFonts w:ascii="Helvetica" w:hAnsi="Helvetica"/>
                <w:b/>
                <w:sz w:val="20"/>
                <w:szCs w:val="20"/>
              </w:rPr>
              <w:t>2</w:t>
            </w:r>
            <w:r w:rsidRPr="001926D2">
              <w:rPr>
                <w:rFonts w:ascii="Helvetica" w:hAnsi="Helvetica"/>
                <w:b/>
                <w:sz w:val="20"/>
                <w:szCs w:val="20"/>
              </w:rPr>
              <w:t xml:space="preserve"> -201</w:t>
            </w:r>
            <w:r w:rsidR="00B63723">
              <w:rPr>
                <w:rFonts w:ascii="Helvetica" w:hAnsi="Helvetica"/>
                <w:b/>
                <w:sz w:val="20"/>
                <w:szCs w:val="20"/>
              </w:rPr>
              <w:t>3</w:t>
            </w:r>
            <w:r w:rsidRPr="001926D2">
              <w:rPr>
                <w:rFonts w:ascii="Helvetica" w:hAnsi="Helvetica"/>
                <w:b/>
                <w:sz w:val="20"/>
                <w:szCs w:val="20"/>
              </w:rPr>
              <w:t xml:space="preserve"> (N)</w:t>
            </w:r>
          </w:p>
        </w:tc>
        <w:tc>
          <w:tcPr>
            <w:tcW w:w="2520" w:type="dxa"/>
            <w:vMerge/>
          </w:tcPr>
          <w:p w:rsidR="009F2EC6" w:rsidRPr="001926D2" w:rsidRDefault="009F2EC6">
            <w:pPr>
              <w:rPr>
                <w:rFonts w:ascii="Helvetica" w:hAnsi="Helvetica"/>
                <w:b/>
                <w:sz w:val="20"/>
                <w:szCs w:val="20"/>
              </w:rPr>
            </w:pPr>
          </w:p>
        </w:tc>
        <w:tc>
          <w:tcPr>
            <w:tcW w:w="1440" w:type="dxa"/>
            <w:vAlign w:val="center"/>
          </w:tcPr>
          <w:p w:rsidR="009F2EC6" w:rsidRPr="001926D2" w:rsidRDefault="009F2EC6" w:rsidP="009F2EC6">
            <w:pPr>
              <w:jc w:val="center"/>
              <w:rPr>
                <w:rFonts w:ascii="Helvetica" w:hAnsi="Helvetica"/>
                <w:b/>
                <w:sz w:val="20"/>
                <w:szCs w:val="20"/>
              </w:rPr>
            </w:pPr>
            <w:r w:rsidRPr="001926D2">
              <w:rPr>
                <w:rFonts w:ascii="Helvetica" w:hAnsi="Helvetica"/>
                <w:b/>
                <w:sz w:val="20"/>
                <w:szCs w:val="20"/>
              </w:rPr>
              <w:t xml:space="preserve">Multiyear </w:t>
            </w:r>
          </w:p>
          <w:p w:rsidR="009F2EC6" w:rsidRPr="001926D2" w:rsidRDefault="009F2EC6" w:rsidP="009F2EC6">
            <w:pPr>
              <w:jc w:val="center"/>
              <w:rPr>
                <w:rFonts w:ascii="Helvetica" w:hAnsi="Helvetica"/>
                <w:b/>
                <w:sz w:val="20"/>
                <w:szCs w:val="20"/>
              </w:rPr>
            </w:pPr>
            <w:r w:rsidRPr="001926D2">
              <w:rPr>
                <w:rFonts w:ascii="Helvetica" w:hAnsi="Helvetica"/>
                <w:b/>
                <w:sz w:val="20"/>
                <w:szCs w:val="20"/>
              </w:rPr>
              <w:t>Rate (N)</w:t>
            </w:r>
          </w:p>
        </w:tc>
        <w:tc>
          <w:tcPr>
            <w:tcW w:w="1620" w:type="dxa"/>
            <w:vAlign w:val="center"/>
          </w:tcPr>
          <w:p w:rsidR="009F2EC6" w:rsidRPr="001926D2" w:rsidRDefault="009F2EC6" w:rsidP="00B63723">
            <w:pPr>
              <w:jc w:val="center"/>
              <w:rPr>
                <w:rFonts w:ascii="Helvetica" w:hAnsi="Helvetica"/>
                <w:b/>
                <w:sz w:val="20"/>
                <w:szCs w:val="20"/>
              </w:rPr>
            </w:pPr>
            <w:r w:rsidRPr="001926D2">
              <w:rPr>
                <w:rFonts w:ascii="Helvetica" w:hAnsi="Helvetica"/>
                <w:b/>
                <w:sz w:val="20"/>
                <w:szCs w:val="20"/>
              </w:rPr>
              <w:t>201</w:t>
            </w:r>
            <w:r w:rsidR="00B63723">
              <w:rPr>
                <w:rFonts w:ascii="Helvetica" w:hAnsi="Helvetica"/>
                <w:b/>
                <w:sz w:val="20"/>
                <w:szCs w:val="20"/>
              </w:rPr>
              <w:t>2</w:t>
            </w:r>
            <w:r w:rsidRPr="001926D2">
              <w:rPr>
                <w:rFonts w:ascii="Helvetica" w:hAnsi="Helvetica"/>
                <w:b/>
                <w:sz w:val="20"/>
                <w:szCs w:val="20"/>
              </w:rPr>
              <w:t xml:space="preserve"> -201</w:t>
            </w:r>
            <w:r w:rsidR="00B63723">
              <w:rPr>
                <w:rFonts w:ascii="Helvetica" w:hAnsi="Helvetica"/>
                <w:b/>
                <w:sz w:val="20"/>
                <w:szCs w:val="20"/>
              </w:rPr>
              <w:t>3</w:t>
            </w:r>
            <w:r w:rsidRPr="001926D2">
              <w:rPr>
                <w:rFonts w:ascii="Helvetica" w:hAnsi="Helvetica"/>
                <w:b/>
                <w:sz w:val="20"/>
                <w:szCs w:val="20"/>
              </w:rPr>
              <w:t xml:space="preserve"> (N)</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Men’s Basketball</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80</w:t>
            </w:r>
            <w:r w:rsidRPr="001926D2">
              <w:rPr>
                <w:rFonts w:ascii="Helvetica" w:hAnsi="Helvetica"/>
                <w:sz w:val="20"/>
                <w:szCs w:val="20"/>
              </w:rPr>
              <w:t xml:space="preserve"> (5</w:t>
            </w:r>
            <w:r w:rsidR="00B63723">
              <w:rPr>
                <w:rFonts w:ascii="Helvetica" w:hAnsi="Helvetica"/>
                <w:sz w:val="20"/>
                <w:szCs w:val="20"/>
              </w:rPr>
              <w:t>3</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6</w:t>
            </w:r>
            <w:r w:rsidRPr="001926D2">
              <w:rPr>
                <w:rFonts w:ascii="Helvetica" w:hAnsi="Helvetica"/>
                <w:sz w:val="20"/>
                <w:szCs w:val="20"/>
              </w:rPr>
              <w:t>1 (1</w:t>
            </w:r>
            <w:r w:rsidR="00B63723">
              <w:rPr>
                <w:rFonts w:ascii="Helvetica" w:hAnsi="Helvetica"/>
                <w:sz w:val="20"/>
                <w:szCs w:val="20"/>
              </w:rPr>
              <w:t>3</w:t>
            </w:r>
            <w:r w:rsidRPr="001926D2">
              <w:rPr>
                <w:rFonts w:ascii="Helvetica" w:hAnsi="Helvetica"/>
                <w:sz w:val="20"/>
                <w:szCs w:val="20"/>
              </w:rPr>
              <w:t>)</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Basketball</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76</w:t>
            </w:r>
            <w:r w:rsidRPr="001926D2">
              <w:rPr>
                <w:rFonts w:ascii="Helvetica" w:hAnsi="Helvetica"/>
                <w:sz w:val="20"/>
                <w:szCs w:val="20"/>
              </w:rPr>
              <w:t xml:space="preserve"> (5</w:t>
            </w:r>
            <w:r w:rsidR="00B63723">
              <w:rPr>
                <w:rFonts w:ascii="Helvetica" w:hAnsi="Helvetica"/>
                <w:sz w:val="20"/>
                <w:szCs w:val="20"/>
              </w:rPr>
              <w:t>7</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rPr>
            </w:pPr>
            <w:r w:rsidRPr="001926D2">
              <w:rPr>
                <w:rFonts w:ascii="Helvetica" w:hAnsi="Helvetica"/>
                <w:sz w:val="20"/>
                <w:szCs w:val="20"/>
              </w:rPr>
              <w:t xml:space="preserve">   </w:t>
            </w:r>
            <w:r w:rsidR="00B63723">
              <w:rPr>
                <w:rFonts w:ascii="Helvetica" w:hAnsi="Helvetica"/>
                <w:sz w:val="20"/>
                <w:szCs w:val="20"/>
              </w:rPr>
              <w:t>1000</w:t>
            </w:r>
            <w:r w:rsidRPr="001926D2">
              <w:rPr>
                <w:rFonts w:ascii="Helvetica" w:hAnsi="Helvetica"/>
                <w:sz w:val="20"/>
                <w:szCs w:val="20"/>
              </w:rPr>
              <w:t xml:space="preserve"> (1</w:t>
            </w:r>
            <w:r w:rsidR="00B63723">
              <w:rPr>
                <w:rFonts w:ascii="Helvetica" w:hAnsi="Helvetica"/>
                <w:sz w:val="20"/>
                <w:szCs w:val="20"/>
              </w:rPr>
              <w:t>4</w:t>
            </w:r>
            <w:r w:rsidRPr="001926D2">
              <w:rPr>
                <w:rFonts w:ascii="Helvetica" w:hAnsi="Helvetica"/>
                <w:sz w:val="20"/>
                <w:szCs w:val="20"/>
              </w:rPr>
              <w:t>)</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Men’s Cross Country</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69</w:t>
            </w:r>
            <w:r w:rsidRPr="001926D2">
              <w:rPr>
                <w:rFonts w:ascii="Helvetica" w:hAnsi="Helvetica"/>
                <w:sz w:val="20"/>
                <w:szCs w:val="20"/>
              </w:rPr>
              <w:t xml:space="preserve"> (3</w:t>
            </w:r>
            <w:r w:rsidR="00B63723">
              <w:rPr>
                <w:rFonts w:ascii="Helvetica" w:hAnsi="Helvetica"/>
                <w:sz w:val="20"/>
                <w:szCs w:val="20"/>
              </w:rPr>
              <w:t>6</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67</w:t>
            </w:r>
            <w:r w:rsidRPr="001926D2">
              <w:rPr>
                <w:rFonts w:ascii="Helvetica" w:hAnsi="Helvetica"/>
                <w:sz w:val="20"/>
                <w:szCs w:val="20"/>
              </w:rPr>
              <w:t xml:space="preserve"> (</w:t>
            </w:r>
            <w:r w:rsidR="00B63723">
              <w:rPr>
                <w:rFonts w:ascii="Helvetica" w:hAnsi="Helvetica"/>
                <w:sz w:val="20"/>
                <w:szCs w:val="20"/>
              </w:rPr>
              <w:t>8</w:t>
            </w:r>
            <w:r w:rsidRPr="001926D2">
              <w:rPr>
                <w:rFonts w:ascii="Helvetica" w:hAnsi="Helvetica"/>
                <w:sz w:val="20"/>
                <w:szCs w:val="20"/>
              </w:rPr>
              <w:t>)</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Cross Country</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98</w:t>
            </w:r>
            <w:r w:rsidR="00B63723">
              <w:rPr>
                <w:rFonts w:ascii="Helvetica" w:hAnsi="Helvetica"/>
                <w:sz w:val="20"/>
                <w:szCs w:val="20"/>
              </w:rPr>
              <w:t>3</w:t>
            </w:r>
            <w:r w:rsidRPr="001926D2">
              <w:rPr>
                <w:rFonts w:ascii="Helvetica" w:hAnsi="Helvetica"/>
                <w:sz w:val="20"/>
                <w:szCs w:val="20"/>
              </w:rPr>
              <w:t xml:space="preserve"> (</w:t>
            </w:r>
            <w:r w:rsidR="00B63723">
              <w:rPr>
                <w:rFonts w:ascii="Helvetica" w:hAnsi="Helvetica"/>
                <w:sz w:val="20"/>
                <w:szCs w:val="20"/>
              </w:rPr>
              <w:t>62</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8</w:t>
            </w:r>
            <w:r w:rsidRPr="001926D2">
              <w:rPr>
                <w:rFonts w:ascii="Helvetica" w:hAnsi="Helvetica"/>
                <w:sz w:val="20"/>
                <w:szCs w:val="20"/>
              </w:rPr>
              <w:t>3 (1</w:t>
            </w:r>
            <w:r w:rsidR="00B63723">
              <w:rPr>
                <w:rFonts w:ascii="Helvetica" w:hAnsi="Helvetica"/>
                <w:sz w:val="20"/>
                <w:szCs w:val="20"/>
              </w:rPr>
              <w:t>7</w:t>
            </w:r>
            <w:r w:rsidRPr="001926D2">
              <w:rPr>
                <w:rFonts w:ascii="Helvetica" w:hAnsi="Helvetica"/>
                <w:sz w:val="20"/>
                <w:szCs w:val="20"/>
              </w:rPr>
              <w:t>)</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Football</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38</w:t>
            </w:r>
            <w:r w:rsidRPr="001926D2">
              <w:rPr>
                <w:rFonts w:ascii="Helvetica" w:hAnsi="Helvetica"/>
                <w:sz w:val="20"/>
                <w:szCs w:val="20"/>
              </w:rPr>
              <w:t xml:space="preserve"> (32</w:t>
            </w:r>
            <w:r w:rsidR="00B63723">
              <w:rPr>
                <w:rFonts w:ascii="Helvetica" w:hAnsi="Helvetica"/>
                <w:sz w:val="20"/>
                <w:szCs w:val="20"/>
              </w:rPr>
              <w:t>5</w:t>
            </w:r>
            <w:r w:rsidRPr="001926D2">
              <w:rPr>
                <w:rFonts w:ascii="Helvetica" w:hAnsi="Helvetica"/>
                <w:sz w:val="20"/>
                <w:szCs w:val="20"/>
              </w:rPr>
              <w:t>)</w:t>
            </w:r>
          </w:p>
        </w:tc>
        <w:tc>
          <w:tcPr>
            <w:tcW w:w="1620" w:type="dxa"/>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51</w:t>
            </w:r>
            <w:r w:rsidRPr="001926D2">
              <w:rPr>
                <w:rFonts w:ascii="Helvetica" w:hAnsi="Helvetica"/>
                <w:sz w:val="20"/>
                <w:szCs w:val="20"/>
              </w:rPr>
              <w:t xml:space="preserve"> (</w:t>
            </w:r>
            <w:r w:rsidR="00B63723">
              <w:rPr>
                <w:rFonts w:ascii="Helvetica" w:hAnsi="Helvetica"/>
                <w:sz w:val="20"/>
                <w:szCs w:val="20"/>
              </w:rPr>
              <w:t>78</w:t>
            </w:r>
            <w:r w:rsidRPr="001926D2">
              <w:rPr>
                <w:rFonts w:ascii="Helvetica" w:hAnsi="Helvetica"/>
                <w:sz w:val="20"/>
                <w:szCs w:val="20"/>
              </w:rPr>
              <w:t>)</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Golf</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77</w:t>
            </w:r>
            <w:r w:rsidRPr="001926D2">
              <w:rPr>
                <w:rFonts w:ascii="Helvetica" w:hAnsi="Helvetica"/>
                <w:sz w:val="20"/>
                <w:szCs w:val="20"/>
              </w:rPr>
              <w:t xml:space="preserve"> (3</w:t>
            </w:r>
            <w:r w:rsidR="00B63723">
              <w:rPr>
                <w:rFonts w:ascii="Helvetica" w:hAnsi="Helvetica"/>
                <w:sz w:val="20"/>
                <w:szCs w:val="20"/>
              </w:rPr>
              <w:t>5</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97</w:t>
            </w:r>
            <w:r w:rsidR="00B63723">
              <w:rPr>
                <w:rFonts w:ascii="Helvetica" w:hAnsi="Helvetica"/>
                <w:sz w:val="20"/>
                <w:szCs w:val="20"/>
              </w:rPr>
              <w:t>3</w:t>
            </w:r>
            <w:r w:rsidRPr="001926D2">
              <w:rPr>
                <w:rFonts w:ascii="Helvetica" w:hAnsi="Helvetica"/>
                <w:sz w:val="20"/>
                <w:szCs w:val="20"/>
              </w:rPr>
              <w:t xml:space="preserve"> (10)</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Men’s Golf</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w:t>
            </w:r>
            <w:r w:rsidR="00B63723">
              <w:rPr>
                <w:rFonts w:ascii="Helvetica" w:hAnsi="Helvetica"/>
                <w:sz w:val="20"/>
                <w:szCs w:val="20"/>
              </w:rPr>
              <w:t>992</w:t>
            </w:r>
            <w:r w:rsidRPr="001926D2">
              <w:rPr>
                <w:rFonts w:ascii="Helvetica" w:hAnsi="Helvetica"/>
                <w:sz w:val="20"/>
                <w:szCs w:val="20"/>
              </w:rPr>
              <w:t xml:space="preserve"> (3</w:t>
            </w:r>
            <w:r w:rsidR="00B63723">
              <w:rPr>
                <w:rFonts w:ascii="Helvetica" w:hAnsi="Helvetica"/>
                <w:sz w:val="20"/>
                <w:szCs w:val="20"/>
              </w:rPr>
              <w:t>2</w:t>
            </w:r>
            <w:r w:rsidRPr="001926D2">
              <w:rPr>
                <w:rFonts w:ascii="Helvetica" w:hAnsi="Helvetica"/>
                <w:sz w:val="20"/>
                <w:szCs w:val="20"/>
              </w:rPr>
              <w:t>)</w:t>
            </w:r>
          </w:p>
        </w:tc>
        <w:tc>
          <w:tcPr>
            <w:tcW w:w="1620" w:type="dxa"/>
          </w:tcPr>
          <w:p w:rsidR="009F2EC6" w:rsidRPr="001926D2" w:rsidRDefault="009F2EC6" w:rsidP="00B63723">
            <w:pPr>
              <w:rPr>
                <w:rFonts w:ascii="Helvetica" w:hAnsi="Helvetica"/>
                <w:sz w:val="20"/>
                <w:szCs w:val="20"/>
              </w:rPr>
            </w:pPr>
            <w:r w:rsidRPr="001926D2">
              <w:rPr>
                <w:rFonts w:ascii="Helvetica" w:hAnsi="Helvetica"/>
                <w:sz w:val="20"/>
                <w:szCs w:val="20"/>
              </w:rPr>
              <w:t xml:space="preserve">   </w:t>
            </w:r>
            <w:r w:rsidR="00B63723">
              <w:rPr>
                <w:rFonts w:ascii="Helvetica" w:hAnsi="Helvetica"/>
                <w:sz w:val="20"/>
                <w:szCs w:val="20"/>
              </w:rPr>
              <w:t>962</w:t>
            </w:r>
            <w:r w:rsidRPr="001926D2">
              <w:rPr>
                <w:rFonts w:ascii="Helvetica" w:hAnsi="Helvetica"/>
                <w:sz w:val="20"/>
                <w:szCs w:val="20"/>
              </w:rPr>
              <w:t xml:space="preserve"> (8)</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Softball</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94</w:t>
            </w:r>
            <w:r w:rsidR="00B63723">
              <w:rPr>
                <w:rFonts w:ascii="Helvetica" w:hAnsi="Helvetica"/>
                <w:sz w:val="20"/>
                <w:szCs w:val="20"/>
              </w:rPr>
              <w:t>6</w:t>
            </w:r>
            <w:r w:rsidRPr="001926D2">
              <w:rPr>
                <w:rFonts w:ascii="Helvetica" w:hAnsi="Helvetica"/>
                <w:sz w:val="20"/>
                <w:szCs w:val="20"/>
              </w:rPr>
              <w:t xml:space="preserve"> (</w:t>
            </w:r>
            <w:r w:rsidR="00B63723">
              <w:rPr>
                <w:rFonts w:ascii="Helvetica" w:hAnsi="Helvetica"/>
                <w:sz w:val="20"/>
                <w:szCs w:val="20"/>
              </w:rPr>
              <w:t>68</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4</w:t>
            </w:r>
            <w:r w:rsidRPr="001926D2">
              <w:rPr>
                <w:rFonts w:ascii="Helvetica" w:hAnsi="Helvetica"/>
                <w:sz w:val="20"/>
                <w:szCs w:val="20"/>
              </w:rPr>
              <w:t>4 (2</w:t>
            </w:r>
            <w:r w:rsidR="00B63723">
              <w:rPr>
                <w:rFonts w:ascii="Helvetica" w:hAnsi="Helvetica"/>
                <w:sz w:val="20"/>
                <w:szCs w:val="20"/>
              </w:rPr>
              <w:t>4</w:t>
            </w:r>
            <w:r w:rsidRPr="001926D2">
              <w:rPr>
                <w:rFonts w:ascii="Helvetica" w:hAnsi="Helvetica"/>
                <w:sz w:val="20"/>
                <w:szCs w:val="20"/>
              </w:rPr>
              <w:t>)</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Men’s Tennis</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66</w:t>
            </w:r>
            <w:r w:rsidRPr="001926D2">
              <w:rPr>
                <w:rFonts w:ascii="Helvetica" w:hAnsi="Helvetica"/>
                <w:sz w:val="20"/>
                <w:szCs w:val="20"/>
              </w:rPr>
              <w:t xml:space="preserve"> (26)</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1000 (</w:t>
            </w:r>
            <w:r w:rsidR="00B63723">
              <w:rPr>
                <w:rFonts w:ascii="Helvetica" w:hAnsi="Helvetica"/>
                <w:sz w:val="20"/>
                <w:szCs w:val="20"/>
              </w:rPr>
              <w:t>7</w:t>
            </w:r>
            <w:r w:rsidRPr="001926D2">
              <w:rPr>
                <w:rFonts w:ascii="Helvetica" w:hAnsi="Helvetica"/>
                <w:sz w:val="20"/>
                <w:szCs w:val="20"/>
              </w:rPr>
              <w:t>)</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Soccer</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w:t>
            </w:r>
            <w:r w:rsidR="00B63723">
              <w:rPr>
                <w:rFonts w:ascii="Helvetica" w:hAnsi="Helvetica"/>
                <w:sz w:val="20"/>
                <w:szCs w:val="20"/>
              </w:rPr>
              <w:t>1000</w:t>
            </w:r>
            <w:r w:rsidRPr="001926D2">
              <w:rPr>
                <w:rFonts w:ascii="Helvetica" w:hAnsi="Helvetica"/>
                <w:sz w:val="20"/>
                <w:szCs w:val="20"/>
              </w:rPr>
              <w:t xml:space="preserve"> (1</w:t>
            </w:r>
            <w:r w:rsidR="00B63723">
              <w:rPr>
                <w:rFonts w:ascii="Helvetica" w:hAnsi="Helvetica"/>
                <w:sz w:val="20"/>
                <w:szCs w:val="20"/>
              </w:rPr>
              <w:t>12</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w:t>
            </w:r>
            <w:r w:rsidR="00B63723">
              <w:rPr>
                <w:rFonts w:ascii="Helvetica" w:hAnsi="Helvetica"/>
                <w:sz w:val="20"/>
                <w:szCs w:val="20"/>
              </w:rPr>
              <w:t>992</w:t>
            </w:r>
            <w:r w:rsidRPr="001926D2">
              <w:rPr>
                <w:rFonts w:ascii="Helvetica" w:hAnsi="Helvetica"/>
                <w:sz w:val="20"/>
                <w:szCs w:val="20"/>
              </w:rPr>
              <w:t xml:space="preserve"> (</w:t>
            </w:r>
            <w:r w:rsidR="00B63723">
              <w:rPr>
                <w:rFonts w:ascii="Helvetica" w:hAnsi="Helvetica"/>
                <w:sz w:val="20"/>
                <w:szCs w:val="20"/>
              </w:rPr>
              <w:t>35</w:t>
            </w:r>
            <w:r w:rsidRPr="001926D2">
              <w:rPr>
                <w:rFonts w:ascii="Helvetica" w:hAnsi="Helvetica"/>
                <w:sz w:val="20"/>
                <w:szCs w:val="20"/>
              </w:rPr>
              <w:t>)</w:t>
            </w:r>
          </w:p>
        </w:tc>
      </w:tr>
      <w:tr w:rsidR="009F2EC6" w:rsidRPr="001926D2" w:rsidTr="00B63723">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Men’s Track, Indoor</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94</w:t>
            </w:r>
            <w:r w:rsidR="00B63723">
              <w:rPr>
                <w:rFonts w:ascii="Helvetica" w:hAnsi="Helvetica"/>
                <w:sz w:val="20"/>
                <w:szCs w:val="20"/>
              </w:rPr>
              <w:t>5</w:t>
            </w:r>
            <w:r w:rsidRPr="001926D2">
              <w:rPr>
                <w:rFonts w:ascii="Helvetica" w:hAnsi="Helvetica"/>
                <w:sz w:val="20"/>
                <w:szCs w:val="20"/>
              </w:rPr>
              <w:t xml:space="preserve"> (1</w:t>
            </w:r>
            <w:r w:rsidR="00B63723">
              <w:rPr>
                <w:rFonts w:ascii="Helvetica" w:hAnsi="Helvetica"/>
                <w:sz w:val="20"/>
                <w:szCs w:val="20"/>
              </w:rPr>
              <w:t>12</w:t>
            </w:r>
            <w:r w:rsidRPr="001926D2">
              <w:rPr>
                <w:rFonts w:ascii="Helvetica" w:hAnsi="Helvetica"/>
                <w:sz w:val="20"/>
                <w:szCs w:val="20"/>
              </w:rPr>
              <w:t>)</w:t>
            </w:r>
          </w:p>
        </w:tc>
        <w:tc>
          <w:tcPr>
            <w:tcW w:w="1620" w:type="dxa"/>
            <w:vAlign w:val="center"/>
          </w:tcPr>
          <w:p w:rsidR="009F2EC6" w:rsidRPr="001926D2" w:rsidRDefault="009F2EC6" w:rsidP="00B63723">
            <w:pPr>
              <w:jc w:val="center"/>
              <w:rPr>
                <w:rFonts w:ascii="Helvetica" w:hAnsi="Helvetica"/>
                <w:sz w:val="20"/>
                <w:szCs w:val="20"/>
              </w:rPr>
            </w:pPr>
            <w:r w:rsidRPr="001926D2">
              <w:rPr>
                <w:rFonts w:ascii="Helvetica" w:hAnsi="Helvetica"/>
                <w:sz w:val="20"/>
                <w:szCs w:val="20"/>
              </w:rPr>
              <w:t>9</w:t>
            </w:r>
            <w:r w:rsidR="00B63723">
              <w:rPr>
                <w:rFonts w:ascii="Helvetica" w:hAnsi="Helvetica"/>
                <w:sz w:val="20"/>
                <w:szCs w:val="20"/>
              </w:rPr>
              <w:t>63</w:t>
            </w:r>
            <w:r w:rsidRPr="001926D2">
              <w:rPr>
                <w:rFonts w:ascii="Helvetica" w:hAnsi="Helvetica"/>
                <w:sz w:val="20"/>
                <w:szCs w:val="20"/>
              </w:rPr>
              <w:t xml:space="preserve"> (</w:t>
            </w:r>
            <w:r w:rsidR="00B63723">
              <w:rPr>
                <w:rFonts w:ascii="Helvetica" w:hAnsi="Helvetica"/>
                <w:sz w:val="20"/>
                <w:szCs w:val="20"/>
              </w:rPr>
              <w:t>30</w:t>
            </w:r>
            <w:r w:rsidRPr="001926D2">
              <w:rPr>
                <w:rFonts w:ascii="Helvetica" w:hAnsi="Helvetica"/>
                <w:sz w:val="20"/>
                <w:szCs w:val="20"/>
              </w:rPr>
              <w:t>)</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Tennis</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93</w:t>
            </w:r>
            <w:r w:rsidR="00B63723">
              <w:rPr>
                <w:rFonts w:ascii="Helvetica" w:hAnsi="Helvetica"/>
                <w:sz w:val="20"/>
                <w:szCs w:val="20"/>
              </w:rPr>
              <w:t>7</w:t>
            </w:r>
            <w:r w:rsidRPr="001926D2">
              <w:rPr>
                <w:rFonts w:ascii="Helvetica" w:hAnsi="Helvetica"/>
                <w:sz w:val="20"/>
                <w:szCs w:val="20"/>
              </w:rPr>
              <w:t xml:space="preserve"> (3</w:t>
            </w:r>
            <w:r w:rsidR="00B63723">
              <w:rPr>
                <w:rFonts w:ascii="Helvetica" w:hAnsi="Helvetica"/>
                <w:sz w:val="20"/>
                <w:szCs w:val="20"/>
              </w:rPr>
              <w:t>0</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w:t>
            </w:r>
            <w:r w:rsidR="00B63723">
              <w:rPr>
                <w:rFonts w:ascii="Helvetica" w:hAnsi="Helvetica"/>
                <w:sz w:val="20"/>
                <w:szCs w:val="20"/>
              </w:rPr>
              <w:t>1000</w:t>
            </w:r>
            <w:r w:rsidRPr="001926D2">
              <w:rPr>
                <w:rFonts w:ascii="Helvetica" w:hAnsi="Helvetica"/>
                <w:sz w:val="20"/>
                <w:szCs w:val="20"/>
              </w:rPr>
              <w:t xml:space="preserve"> (</w:t>
            </w:r>
            <w:r w:rsidR="00B63723">
              <w:rPr>
                <w:rFonts w:ascii="Helvetica" w:hAnsi="Helvetica"/>
                <w:sz w:val="20"/>
                <w:szCs w:val="20"/>
              </w:rPr>
              <w:t>6</w:t>
            </w:r>
            <w:r w:rsidRPr="001926D2">
              <w:rPr>
                <w:rFonts w:ascii="Helvetica" w:hAnsi="Helvetica"/>
                <w:sz w:val="20"/>
                <w:szCs w:val="20"/>
              </w:rPr>
              <w:t>)</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Men’s Track, Outdoor</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44</w:t>
            </w:r>
            <w:r w:rsidRPr="001926D2">
              <w:rPr>
                <w:rFonts w:ascii="Helvetica" w:hAnsi="Helvetica"/>
                <w:sz w:val="20"/>
                <w:szCs w:val="20"/>
              </w:rPr>
              <w:t xml:space="preserve"> (1</w:t>
            </w:r>
            <w:r w:rsidR="00B63723">
              <w:rPr>
                <w:rFonts w:ascii="Helvetica" w:hAnsi="Helvetica"/>
                <w:sz w:val="20"/>
                <w:szCs w:val="20"/>
              </w:rPr>
              <w:t>10</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63</w:t>
            </w:r>
            <w:r w:rsidRPr="001926D2">
              <w:rPr>
                <w:rFonts w:ascii="Helvetica" w:hAnsi="Helvetica"/>
                <w:sz w:val="20"/>
                <w:szCs w:val="20"/>
              </w:rPr>
              <w:t xml:space="preserve"> (</w:t>
            </w:r>
            <w:r w:rsidR="00B63723">
              <w:rPr>
                <w:rFonts w:ascii="Helvetica" w:hAnsi="Helvetica"/>
                <w:sz w:val="20"/>
                <w:szCs w:val="20"/>
              </w:rPr>
              <w:t>30</w:t>
            </w:r>
            <w:r w:rsidRPr="001926D2">
              <w:rPr>
                <w:rFonts w:ascii="Helvetica" w:hAnsi="Helvetica"/>
                <w:sz w:val="20"/>
                <w:szCs w:val="20"/>
              </w:rPr>
              <w:t>)</w:t>
            </w: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Track, Indoor</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75</w:t>
            </w:r>
            <w:r w:rsidRPr="001926D2">
              <w:rPr>
                <w:rFonts w:ascii="Helvetica" w:hAnsi="Helvetica"/>
                <w:sz w:val="20"/>
                <w:szCs w:val="20"/>
              </w:rPr>
              <w:t xml:space="preserve"> (1</w:t>
            </w:r>
            <w:r w:rsidR="00B63723">
              <w:rPr>
                <w:rFonts w:ascii="Helvetica" w:hAnsi="Helvetica"/>
                <w:sz w:val="20"/>
                <w:szCs w:val="20"/>
              </w:rPr>
              <w:t>48</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73</w:t>
            </w:r>
            <w:r w:rsidRPr="001926D2">
              <w:rPr>
                <w:rFonts w:ascii="Helvetica" w:hAnsi="Helvetica"/>
                <w:sz w:val="20"/>
                <w:szCs w:val="20"/>
              </w:rPr>
              <w:t xml:space="preserve"> (</w:t>
            </w:r>
            <w:r w:rsidR="00B63723">
              <w:rPr>
                <w:rFonts w:ascii="Helvetica" w:hAnsi="Helvetica"/>
                <w:sz w:val="20"/>
                <w:szCs w:val="20"/>
              </w:rPr>
              <w:t>40</w:t>
            </w:r>
            <w:r w:rsidRPr="001926D2">
              <w:rPr>
                <w:rFonts w:ascii="Helvetica" w:hAnsi="Helvetica"/>
                <w:sz w:val="20"/>
                <w:szCs w:val="20"/>
              </w:rPr>
              <w:t>)</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p>
        </w:tc>
        <w:tc>
          <w:tcPr>
            <w:tcW w:w="1440" w:type="dxa"/>
            <w:vAlign w:val="center"/>
          </w:tcPr>
          <w:p w:rsidR="009F2EC6" w:rsidRPr="001926D2" w:rsidRDefault="009F2EC6" w:rsidP="009F2EC6">
            <w:pPr>
              <w:jc w:val="center"/>
              <w:rPr>
                <w:rFonts w:ascii="Helvetica" w:hAnsi="Helvetica"/>
                <w:sz w:val="20"/>
                <w:szCs w:val="20"/>
              </w:rPr>
            </w:pPr>
          </w:p>
        </w:tc>
        <w:tc>
          <w:tcPr>
            <w:tcW w:w="1620" w:type="dxa"/>
          </w:tcPr>
          <w:p w:rsidR="009F2EC6" w:rsidRPr="001926D2" w:rsidRDefault="009F2EC6">
            <w:pPr>
              <w:rPr>
                <w:rFonts w:ascii="Helvetica" w:hAnsi="Helvetica"/>
                <w:sz w:val="20"/>
                <w:szCs w:val="20"/>
              </w:rPr>
            </w:pP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Women’s Track, Outdoor</w:t>
            </w:r>
          </w:p>
        </w:tc>
        <w:tc>
          <w:tcPr>
            <w:tcW w:w="144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97</w:t>
            </w:r>
            <w:r w:rsidR="00B63723">
              <w:rPr>
                <w:rFonts w:ascii="Helvetica" w:hAnsi="Helvetica"/>
                <w:sz w:val="20"/>
                <w:szCs w:val="20"/>
              </w:rPr>
              <w:t>7</w:t>
            </w:r>
            <w:r w:rsidRPr="001926D2">
              <w:rPr>
                <w:rFonts w:ascii="Helvetica" w:hAnsi="Helvetica"/>
                <w:sz w:val="20"/>
                <w:szCs w:val="20"/>
              </w:rPr>
              <w:t xml:space="preserve"> (1</w:t>
            </w:r>
            <w:r w:rsidR="00B63723">
              <w:rPr>
                <w:rFonts w:ascii="Helvetica" w:hAnsi="Helvetica"/>
                <w:sz w:val="20"/>
                <w:szCs w:val="20"/>
              </w:rPr>
              <w:t>47</w:t>
            </w:r>
            <w:r w:rsidRPr="001926D2">
              <w:rPr>
                <w:rFonts w:ascii="Helvetica" w:hAnsi="Helvetica"/>
                <w:sz w:val="20"/>
                <w:szCs w:val="20"/>
              </w:rPr>
              <w:t>)</w:t>
            </w:r>
          </w:p>
        </w:tc>
        <w:tc>
          <w:tcPr>
            <w:tcW w:w="1620" w:type="dxa"/>
            <w:vAlign w:val="center"/>
          </w:tcPr>
          <w:p w:rsidR="009F2EC6" w:rsidRPr="001926D2" w:rsidRDefault="009F2EC6" w:rsidP="00B63723">
            <w:pPr>
              <w:rPr>
                <w:rFonts w:ascii="Helvetica" w:hAnsi="Helvetica"/>
                <w:sz w:val="20"/>
                <w:szCs w:val="20"/>
              </w:rPr>
            </w:pPr>
            <w:r w:rsidRPr="001926D2">
              <w:rPr>
                <w:rFonts w:ascii="Helvetica" w:hAnsi="Helvetica"/>
                <w:sz w:val="20"/>
                <w:szCs w:val="20"/>
              </w:rPr>
              <w:t xml:space="preserve">   9</w:t>
            </w:r>
            <w:r w:rsidR="00B63723">
              <w:rPr>
                <w:rFonts w:ascii="Helvetica" w:hAnsi="Helvetica"/>
                <w:sz w:val="20"/>
                <w:szCs w:val="20"/>
              </w:rPr>
              <w:t>73</w:t>
            </w:r>
            <w:r w:rsidRPr="001926D2">
              <w:rPr>
                <w:rFonts w:ascii="Helvetica" w:hAnsi="Helvetica"/>
                <w:sz w:val="20"/>
                <w:szCs w:val="20"/>
              </w:rPr>
              <w:t xml:space="preserve"> (</w:t>
            </w:r>
            <w:r w:rsidR="00B63723">
              <w:rPr>
                <w:rFonts w:ascii="Helvetica" w:hAnsi="Helvetica"/>
                <w:sz w:val="20"/>
                <w:szCs w:val="20"/>
              </w:rPr>
              <w:t>40</w:t>
            </w:r>
            <w:r w:rsidRPr="001926D2">
              <w:rPr>
                <w:rFonts w:ascii="Helvetica" w:hAnsi="Helvetica"/>
                <w:sz w:val="20"/>
                <w:szCs w:val="20"/>
              </w:rPr>
              <w:t>)</w:t>
            </w:r>
          </w:p>
        </w:tc>
      </w:tr>
      <w:tr w:rsidR="009F2EC6" w:rsidRPr="001926D2">
        <w:trPr>
          <w:trHeight w:val="288"/>
        </w:trPr>
        <w:tc>
          <w:tcPr>
            <w:tcW w:w="2268" w:type="dxa"/>
            <w:vAlign w:val="center"/>
          </w:tcPr>
          <w:p w:rsidR="009F2EC6" w:rsidRPr="001926D2" w:rsidRDefault="009F2EC6" w:rsidP="009F2EC6">
            <w:pPr>
              <w:rPr>
                <w:rFonts w:ascii="Helvetica" w:hAnsi="Helvetica"/>
                <w:sz w:val="20"/>
                <w:szCs w:val="20"/>
              </w:rPr>
            </w:pPr>
          </w:p>
        </w:tc>
        <w:tc>
          <w:tcPr>
            <w:tcW w:w="1440" w:type="dxa"/>
            <w:vAlign w:val="center"/>
          </w:tcPr>
          <w:p w:rsidR="009F2EC6" w:rsidRPr="001926D2" w:rsidRDefault="009F2EC6" w:rsidP="009F2EC6">
            <w:pPr>
              <w:jc w:val="center"/>
              <w:rPr>
                <w:rFonts w:ascii="Helvetica" w:hAnsi="Helvetica"/>
                <w:sz w:val="20"/>
                <w:szCs w:val="20"/>
              </w:rPr>
            </w:pPr>
          </w:p>
        </w:tc>
        <w:tc>
          <w:tcPr>
            <w:tcW w:w="1620" w:type="dxa"/>
          </w:tcPr>
          <w:p w:rsidR="009F2EC6" w:rsidRPr="001926D2" w:rsidRDefault="009F2EC6">
            <w:pPr>
              <w:rPr>
                <w:rFonts w:ascii="Helvetica" w:hAnsi="Helvetica"/>
                <w:sz w:val="20"/>
                <w:szCs w:val="20"/>
              </w:rPr>
            </w:pPr>
          </w:p>
        </w:tc>
        <w:tc>
          <w:tcPr>
            <w:tcW w:w="2520" w:type="dxa"/>
            <w:vAlign w:val="center"/>
          </w:tcPr>
          <w:p w:rsidR="009F2EC6" w:rsidRPr="001926D2" w:rsidRDefault="009F2EC6" w:rsidP="009F2EC6">
            <w:pPr>
              <w:rPr>
                <w:rFonts w:ascii="Helvetica" w:hAnsi="Helvetica"/>
                <w:sz w:val="20"/>
                <w:szCs w:val="20"/>
              </w:rPr>
            </w:pPr>
            <w:r w:rsidRPr="001926D2">
              <w:rPr>
                <w:rFonts w:ascii="Helvetica" w:hAnsi="Helvetica"/>
                <w:sz w:val="20"/>
                <w:szCs w:val="20"/>
              </w:rPr>
              <w:t>Volleyball</w:t>
            </w:r>
          </w:p>
        </w:tc>
        <w:tc>
          <w:tcPr>
            <w:tcW w:w="1440" w:type="dxa"/>
            <w:vAlign w:val="center"/>
          </w:tcPr>
          <w:p w:rsidR="009F2EC6" w:rsidRPr="001926D2" w:rsidRDefault="009F2EC6" w:rsidP="00B63723">
            <w:pPr>
              <w:jc w:val="center"/>
              <w:rPr>
                <w:rFonts w:ascii="Helvetica" w:hAnsi="Helvetica"/>
                <w:sz w:val="20"/>
                <w:szCs w:val="20"/>
              </w:rPr>
            </w:pPr>
            <w:r w:rsidRPr="001926D2">
              <w:rPr>
                <w:rFonts w:ascii="Helvetica" w:hAnsi="Helvetica"/>
                <w:sz w:val="20"/>
                <w:szCs w:val="20"/>
              </w:rPr>
              <w:t>97</w:t>
            </w:r>
            <w:r w:rsidR="00B63723">
              <w:rPr>
                <w:rFonts w:ascii="Helvetica" w:hAnsi="Helvetica"/>
                <w:sz w:val="20"/>
                <w:szCs w:val="20"/>
              </w:rPr>
              <w:t>8</w:t>
            </w:r>
            <w:r w:rsidRPr="001926D2">
              <w:rPr>
                <w:rFonts w:ascii="Helvetica" w:hAnsi="Helvetica"/>
                <w:sz w:val="20"/>
                <w:szCs w:val="20"/>
              </w:rPr>
              <w:t xml:space="preserve"> (50)</w:t>
            </w:r>
          </w:p>
        </w:tc>
        <w:tc>
          <w:tcPr>
            <w:tcW w:w="1620" w:type="dxa"/>
            <w:vAlign w:val="center"/>
          </w:tcPr>
          <w:p w:rsidR="009F2EC6" w:rsidRPr="001926D2" w:rsidRDefault="00B63723" w:rsidP="009F2EC6">
            <w:pPr>
              <w:jc w:val="center"/>
              <w:rPr>
                <w:rFonts w:ascii="Helvetica" w:hAnsi="Helvetica"/>
                <w:sz w:val="20"/>
                <w:szCs w:val="20"/>
              </w:rPr>
            </w:pPr>
            <w:r>
              <w:rPr>
                <w:rFonts w:ascii="Helvetica" w:hAnsi="Helvetica"/>
                <w:sz w:val="20"/>
                <w:szCs w:val="20"/>
              </w:rPr>
              <w:t>1000</w:t>
            </w:r>
            <w:r w:rsidR="009F2EC6" w:rsidRPr="001926D2">
              <w:rPr>
                <w:rFonts w:ascii="Helvetica" w:hAnsi="Helvetica"/>
                <w:sz w:val="20"/>
                <w:szCs w:val="20"/>
              </w:rPr>
              <w:t xml:space="preserve"> (12)</w:t>
            </w:r>
          </w:p>
        </w:tc>
      </w:tr>
    </w:tbl>
    <w:p w:rsidR="009F2EC6" w:rsidRPr="001926D2" w:rsidRDefault="009F2EC6" w:rsidP="009F2EC6">
      <w:pPr>
        <w:rPr>
          <w:rFonts w:ascii="Helvetica" w:hAnsi="Helvetica"/>
          <w:sz w:val="20"/>
        </w:rPr>
      </w:pPr>
    </w:p>
    <w:p w:rsidR="009F2EC6" w:rsidRPr="001926D2" w:rsidRDefault="009F2EC6" w:rsidP="009F2EC6">
      <w:pPr>
        <w:rPr>
          <w:rFonts w:ascii="Helvetica" w:hAnsi="Helvetica"/>
          <w:sz w:val="20"/>
        </w:rPr>
      </w:pPr>
      <w:r w:rsidRPr="001926D2">
        <w:rPr>
          <w:rFonts w:ascii="Helvetica" w:hAnsi="Helvetica"/>
          <w:sz w:val="20"/>
        </w:rPr>
        <w:t>-Scores below a minimum standard of 930 (multi-year) are subject to NCAA penalties (WSU Goal = 950).</w:t>
      </w:r>
    </w:p>
    <w:p w:rsidR="009F2EC6" w:rsidRPr="001926D2" w:rsidRDefault="009F2EC6" w:rsidP="009F2EC6">
      <w:pPr>
        <w:rPr>
          <w:rFonts w:ascii="Helvetica" w:hAnsi="Helvetica"/>
          <w:sz w:val="20"/>
        </w:rPr>
      </w:pPr>
      <w:r w:rsidRPr="001926D2">
        <w:rPr>
          <w:rFonts w:ascii="Helvetica" w:hAnsi="Helvetica"/>
          <w:sz w:val="20"/>
        </w:rPr>
        <w:t>-Football completed the NCAA penalty for low APR but continues to utilize its own academic improvement plan developed by the football staff and athletic department.</w:t>
      </w:r>
    </w:p>
    <w:p w:rsidR="009F2EC6" w:rsidRPr="001926D2" w:rsidRDefault="009F2EC6" w:rsidP="009F2EC6">
      <w:pPr>
        <w:rPr>
          <w:rFonts w:ascii="Helvetica" w:hAnsi="Helvetica"/>
          <w:sz w:val="20"/>
        </w:rPr>
      </w:pPr>
    </w:p>
    <w:p w:rsidR="009F2EC6" w:rsidRPr="001926D2" w:rsidRDefault="009F2EC6" w:rsidP="009F2EC6">
      <w:pPr>
        <w:rPr>
          <w:rFonts w:ascii="Helvetica" w:hAnsi="Helvetica"/>
          <w:b/>
          <w:sz w:val="20"/>
        </w:rPr>
      </w:pPr>
      <w:r w:rsidRPr="001926D2">
        <w:rPr>
          <w:rFonts w:ascii="Helvetica" w:hAnsi="Helvetica"/>
          <w:b/>
          <w:sz w:val="20"/>
          <w:u w:val="single"/>
        </w:rPr>
        <w:t>Student Progress Report System (SPRS)</w:t>
      </w:r>
    </w:p>
    <w:p w:rsidR="009F2EC6" w:rsidRPr="001926D2" w:rsidRDefault="009F2EC6" w:rsidP="009F2EC6">
      <w:pPr>
        <w:rPr>
          <w:rFonts w:ascii="Helvetica" w:hAnsi="Helvetica"/>
          <w:sz w:val="20"/>
        </w:rPr>
      </w:pPr>
      <w:r w:rsidRPr="001926D2">
        <w:rPr>
          <w:rFonts w:ascii="Helvetica" w:hAnsi="Helvetica"/>
          <w:sz w:val="20"/>
        </w:rPr>
        <w:t xml:space="preserve">Online grade check system is the only system for all student progress requests (Athletics, ROTC, EARS). </w:t>
      </w:r>
    </w:p>
    <w:p w:rsidR="009F2EC6" w:rsidRPr="001926D2" w:rsidRDefault="009F2EC6" w:rsidP="009F2EC6">
      <w:pPr>
        <w:rPr>
          <w:rFonts w:ascii="Helvetica" w:hAnsi="Helvetica"/>
          <w:sz w:val="20"/>
        </w:rPr>
      </w:pPr>
      <w:r w:rsidRPr="001926D2">
        <w:rPr>
          <w:rFonts w:ascii="Helvetica" w:hAnsi="Helvetica"/>
          <w:sz w:val="20"/>
        </w:rPr>
        <w:t>Academic advisors</w:t>
      </w:r>
      <w:r w:rsidR="00677EBB">
        <w:rPr>
          <w:rFonts w:ascii="Helvetica" w:hAnsi="Helvetica"/>
          <w:sz w:val="20"/>
        </w:rPr>
        <w:t>, coaches,</w:t>
      </w:r>
      <w:r w:rsidRPr="001926D2">
        <w:rPr>
          <w:rFonts w:ascii="Helvetica" w:hAnsi="Helvetica"/>
          <w:sz w:val="20"/>
        </w:rPr>
        <w:t xml:space="preserve"> and compliance personnel use </w:t>
      </w:r>
      <w:r>
        <w:rPr>
          <w:rFonts w:ascii="Helvetica" w:hAnsi="Helvetica"/>
          <w:sz w:val="20"/>
        </w:rPr>
        <w:t>faculty</w:t>
      </w:r>
      <w:r w:rsidRPr="001926D2">
        <w:rPr>
          <w:rFonts w:ascii="Helvetica" w:hAnsi="Helvetica"/>
          <w:sz w:val="20"/>
        </w:rPr>
        <w:t xml:space="preserve"> feedback to monitor individual student-athletes’ academic progress.  Timely grade checks also allow efficient utilization of resources for students to assist them in being successful.</w:t>
      </w:r>
    </w:p>
    <w:p w:rsidR="009F2EC6" w:rsidRPr="001926D2" w:rsidRDefault="009F2EC6" w:rsidP="009F2EC6">
      <w:pPr>
        <w:rPr>
          <w:rFonts w:ascii="Helvetica" w:hAnsi="Helvetica"/>
          <w:sz w:val="20"/>
        </w:rPr>
      </w:pPr>
      <w:r w:rsidRPr="001926D2">
        <w:rPr>
          <w:rFonts w:ascii="Helvetica" w:hAnsi="Helvetica"/>
          <w:sz w:val="20"/>
        </w:rPr>
        <w:t xml:space="preserve">   </w:t>
      </w:r>
    </w:p>
    <w:p w:rsidR="009F2EC6" w:rsidRPr="001926D2" w:rsidRDefault="009F2EC6" w:rsidP="009F2EC6">
      <w:pPr>
        <w:rPr>
          <w:rFonts w:ascii="Helvetica" w:hAnsi="Helvetica"/>
          <w:b/>
          <w:sz w:val="20"/>
          <w:u w:val="single"/>
        </w:rPr>
      </w:pPr>
      <w:r w:rsidRPr="001926D2">
        <w:rPr>
          <w:rFonts w:ascii="Helvetica" w:hAnsi="Helvetica"/>
          <w:b/>
          <w:sz w:val="20"/>
          <w:u w:val="single"/>
        </w:rPr>
        <w:t>Graduation Success Rates – WSU</w:t>
      </w:r>
    </w:p>
    <w:p w:rsidR="009F2EC6" w:rsidRPr="001926D2" w:rsidRDefault="009F2EC6" w:rsidP="009F2EC6">
      <w:pPr>
        <w:rPr>
          <w:rFonts w:ascii="Helvetica" w:hAnsi="Helvetica"/>
          <w:b/>
          <w:sz w:val="20"/>
          <w:u w:val="single"/>
        </w:rPr>
      </w:pPr>
      <w:r w:rsidRPr="001926D2">
        <w:rPr>
          <w:rFonts w:ascii="Helvetica" w:hAnsi="Helvetica"/>
          <w:b/>
          <w:noProof/>
          <w:sz w:val="20"/>
          <w:u w:val="single"/>
        </w:rPr>
        <w:pict>
          <v:shapetype id="_x0000_t202" coordsize="21600,21600" o:spt="202" path="m,l,21600r21600,l21600,xe">
            <v:stroke joinstyle="miter"/>
            <v:path gradientshapeok="t" o:connecttype="rect"/>
          </v:shapetype>
          <v:shape id="_x0000_s1026" type="#_x0000_t202" style="position:absolute;margin-left:270pt;margin-top:9.45pt;width:215.25pt;height:89.25pt;z-index:1;mso-wrap-edited:f" wrapcoords="0 0 21600 0 21600 21600 0 21600 0 0" filled="f">
            <v:fill o:detectmouseclick="t"/>
            <v:textbox style="mso-next-textbox:#_x0000_s1026" inset=",7.2pt,,7.2pt">
              <w:txbxContent>
                <w:p w:rsidR="009F2EC6" w:rsidRPr="00135317" w:rsidRDefault="009F2EC6" w:rsidP="009F2EC6">
                  <w:pPr>
                    <w:pStyle w:val="ColorfulList-Accent1"/>
                    <w:spacing w:after="0" w:line="240" w:lineRule="auto"/>
                    <w:ind w:left="360"/>
                    <w:rPr>
                      <w:rFonts w:ascii="Helvetica" w:hAnsi="Helvetica"/>
                      <w:sz w:val="20"/>
                    </w:rPr>
                  </w:pPr>
                  <w:r w:rsidRPr="003A0F8E">
                    <w:rPr>
                      <w:rFonts w:ascii="Helvetica" w:hAnsi="Helvetica"/>
                      <w:b/>
                      <w:sz w:val="20"/>
                    </w:rPr>
                    <w:t>201</w:t>
                  </w:r>
                  <w:r w:rsidR="00677EBB">
                    <w:rPr>
                      <w:rFonts w:ascii="Helvetica" w:hAnsi="Helvetica"/>
                      <w:b/>
                      <w:sz w:val="20"/>
                    </w:rPr>
                    <w:t>4</w:t>
                  </w:r>
                  <w:r w:rsidRPr="003A0F8E">
                    <w:rPr>
                      <w:rFonts w:ascii="Helvetica" w:hAnsi="Helvetica"/>
                      <w:b/>
                      <w:sz w:val="20"/>
                    </w:rPr>
                    <w:t xml:space="preserve"> SA Graduates</w:t>
                  </w:r>
                  <w:r w:rsidRPr="00135317">
                    <w:rPr>
                      <w:rFonts w:ascii="Helvetica" w:hAnsi="Helvetica"/>
                      <w:sz w:val="20"/>
                    </w:rPr>
                    <w:t xml:space="preserve"> – </w:t>
                  </w:r>
                  <w:r>
                    <w:rPr>
                      <w:rFonts w:ascii="Helvetica" w:hAnsi="Helvetica"/>
                      <w:sz w:val="20"/>
                    </w:rPr>
                    <w:t>5</w:t>
                  </w:r>
                  <w:r w:rsidR="00677EBB">
                    <w:rPr>
                      <w:rFonts w:ascii="Helvetica" w:hAnsi="Helvetica"/>
                      <w:sz w:val="20"/>
                    </w:rPr>
                    <w:t>0</w:t>
                  </w:r>
                  <w:r>
                    <w:rPr>
                      <w:rFonts w:ascii="Helvetica" w:hAnsi="Helvetica"/>
                      <w:sz w:val="20"/>
                    </w:rPr>
                    <w:t xml:space="preserve"> total</w:t>
                  </w:r>
                </w:p>
                <w:p w:rsidR="009F2EC6" w:rsidRPr="00135317" w:rsidRDefault="009F2EC6" w:rsidP="009F2EC6">
                  <w:pPr>
                    <w:pStyle w:val="ColorfulList-Accent1"/>
                    <w:spacing w:after="0" w:line="240" w:lineRule="auto"/>
                    <w:rPr>
                      <w:rFonts w:ascii="Helvetica" w:hAnsi="Helvetica"/>
                      <w:sz w:val="20"/>
                    </w:rPr>
                  </w:pPr>
                  <w:r>
                    <w:rPr>
                      <w:rFonts w:ascii="Helvetica" w:hAnsi="Helvetica"/>
                      <w:sz w:val="20"/>
                    </w:rPr>
                    <w:t>Spring 201</w:t>
                  </w:r>
                  <w:r w:rsidR="00677EBB">
                    <w:rPr>
                      <w:rFonts w:ascii="Helvetica" w:hAnsi="Helvetica"/>
                      <w:sz w:val="20"/>
                    </w:rPr>
                    <w:t>4</w:t>
                  </w:r>
                  <w:r w:rsidRPr="00135317">
                    <w:rPr>
                      <w:rFonts w:ascii="Helvetica" w:hAnsi="Helvetica"/>
                      <w:sz w:val="20"/>
                    </w:rPr>
                    <w:t xml:space="preserve"> – </w:t>
                  </w:r>
                  <w:r>
                    <w:rPr>
                      <w:rFonts w:ascii="Helvetica" w:hAnsi="Helvetica"/>
                      <w:sz w:val="20"/>
                    </w:rPr>
                    <w:t>3</w:t>
                  </w:r>
                  <w:r w:rsidR="00677EBB">
                    <w:rPr>
                      <w:rFonts w:ascii="Helvetica" w:hAnsi="Helvetica"/>
                      <w:sz w:val="20"/>
                    </w:rPr>
                    <w:t>2</w:t>
                  </w:r>
                  <w:r w:rsidRPr="00135317">
                    <w:rPr>
                      <w:rFonts w:ascii="Helvetica" w:hAnsi="Helvetica"/>
                      <w:sz w:val="20"/>
                    </w:rPr>
                    <w:t xml:space="preserve"> graduates</w:t>
                  </w:r>
                </w:p>
                <w:p w:rsidR="009F2EC6" w:rsidRPr="00135317" w:rsidRDefault="009F2EC6" w:rsidP="009F2EC6">
                  <w:pPr>
                    <w:pStyle w:val="ColorfulList-Accent1"/>
                    <w:spacing w:after="0" w:line="240" w:lineRule="auto"/>
                    <w:rPr>
                      <w:rFonts w:ascii="Helvetica" w:hAnsi="Helvetica"/>
                      <w:sz w:val="20"/>
                    </w:rPr>
                  </w:pPr>
                  <w:r>
                    <w:rPr>
                      <w:rFonts w:ascii="Helvetica" w:hAnsi="Helvetica"/>
                      <w:sz w:val="20"/>
                    </w:rPr>
                    <w:t>Summer 201</w:t>
                  </w:r>
                  <w:r w:rsidR="00677EBB">
                    <w:rPr>
                      <w:rFonts w:ascii="Helvetica" w:hAnsi="Helvetica"/>
                      <w:sz w:val="20"/>
                    </w:rPr>
                    <w:t>4</w:t>
                  </w:r>
                  <w:r w:rsidRPr="00135317">
                    <w:rPr>
                      <w:rFonts w:ascii="Helvetica" w:hAnsi="Helvetica"/>
                      <w:sz w:val="20"/>
                    </w:rPr>
                    <w:t xml:space="preserve"> – </w:t>
                  </w:r>
                  <w:r w:rsidR="00677EBB">
                    <w:rPr>
                      <w:rFonts w:ascii="Helvetica" w:hAnsi="Helvetica"/>
                      <w:sz w:val="20"/>
                    </w:rPr>
                    <w:t>7</w:t>
                  </w:r>
                  <w:r w:rsidRPr="00135317">
                    <w:rPr>
                      <w:rFonts w:ascii="Helvetica" w:hAnsi="Helvetica"/>
                      <w:sz w:val="20"/>
                    </w:rPr>
                    <w:t xml:space="preserve"> graduates</w:t>
                  </w:r>
                </w:p>
                <w:p w:rsidR="009F2EC6" w:rsidRDefault="009F2EC6" w:rsidP="009F2EC6">
                  <w:pPr>
                    <w:pStyle w:val="ColorfulList-Accent1"/>
                    <w:spacing w:after="0" w:line="240" w:lineRule="auto"/>
                    <w:rPr>
                      <w:rFonts w:ascii="Helvetica" w:hAnsi="Helvetica"/>
                      <w:sz w:val="20"/>
                    </w:rPr>
                  </w:pPr>
                  <w:r>
                    <w:rPr>
                      <w:rFonts w:ascii="Helvetica" w:hAnsi="Helvetica"/>
                      <w:sz w:val="20"/>
                    </w:rPr>
                    <w:t>Fall 201</w:t>
                  </w:r>
                  <w:r w:rsidR="00677EBB">
                    <w:rPr>
                      <w:rFonts w:ascii="Helvetica" w:hAnsi="Helvetica"/>
                      <w:sz w:val="20"/>
                    </w:rPr>
                    <w:t>3</w:t>
                  </w:r>
                  <w:r>
                    <w:rPr>
                      <w:rFonts w:ascii="Helvetica" w:hAnsi="Helvetica"/>
                      <w:sz w:val="20"/>
                    </w:rPr>
                    <w:t xml:space="preserve"> – 11 graduates</w:t>
                  </w:r>
                </w:p>
                <w:p w:rsidR="009F2EC6" w:rsidRDefault="009F2EC6" w:rsidP="009F2EC6">
                  <w:pPr>
                    <w:pStyle w:val="ColorfulList-Accent1"/>
                    <w:spacing w:after="0" w:line="240" w:lineRule="auto"/>
                    <w:rPr>
                      <w:rFonts w:ascii="Helvetica" w:hAnsi="Helvetica"/>
                      <w:sz w:val="20"/>
                    </w:rPr>
                  </w:pPr>
                </w:p>
                <w:p w:rsidR="009F2EC6" w:rsidRPr="003A0F8E" w:rsidRDefault="009F2EC6" w:rsidP="009F2EC6">
                  <w:pPr>
                    <w:pStyle w:val="ColorfulList-Accent1"/>
                    <w:spacing w:after="0" w:line="240" w:lineRule="auto"/>
                    <w:rPr>
                      <w:rFonts w:ascii="Helvetica" w:hAnsi="Helvetica"/>
                      <w:sz w:val="20"/>
                    </w:rPr>
                  </w:pPr>
                  <w:r>
                    <w:rPr>
                      <w:rFonts w:ascii="Helvetica" w:hAnsi="Helvetica"/>
                      <w:sz w:val="20"/>
                    </w:rPr>
                    <w:t>Spring 2013 - 45 graduates</w:t>
                  </w:r>
                </w:p>
              </w:txbxContent>
            </v:textbox>
            <w10:wrap type="tight"/>
          </v:shape>
        </w:pic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900"/>
        <w:gridCol w:w="720"/>
        <w:gridCol w:w="681"/>
        <w:gridCol w:w="683"/>
      </w:tblGrid>
      <w:tr w:rsidR="009F2EC6" w:rsidRPr="001926D2">
        <w:tc>
          <w:tcPr>
            <w:tcW w:w="1458" w:type="dxa"/>
            <w:shd w:val="pct20" w:color="auto" w:fill="auto"/>
          </w:tcPr>
          <w:p w:rsidR="009F2EC6" w:rsidRPr="001926D2" w:rsidRDefault="009F2EC6" w:rsidP="009F2EC6">
            <w:pPr>
              <w:jc w:val="center"/>
              <w:rPr>
                <w:rFonts w:ascii="Helvetica" w:eastAsia="Times New Roman" w:hAnsi="Helvetica"/>
                <w:b/>
                <w:sz w:val="20"/>
              </w:rPr>
            </w:pPr>
            <w:r w:rsidRPr="001926D2">
              <w:rPr>
                <w:rFonts w:ascii="Helvetica" w:eastAsia="Times New Roman" w:hAnsi="Helvetica"/>
                <w:b/>
                <w:sz w:val="20"/>
              </w:rPr>
              <w:t>Cohort Year</w:t>
            </w:r>
          </w:p>
        </w:tc>
        <w:tc>
          <w:tcPr>
            <w:tcW w:w="900" w:type="dxa"/>
            <w:shd w:val="pct20" w:color="auto" w:fill="auto"/>
          </w:tcPr>
          <w:p w:rsidR="009F2EC6" w:rsidRPr="001926D2" w:rsidRDefault="009F2EC6" w:rsidP="009F2EC6">
            <w:pPr>
              <w:jc w:val="center"/>
              <w:rPr>
                <w:rFonts w:ascii="Helvetica" w:eastAsia="Times New Roman" w:hAnsi="Helvetica"/>
                <w:b/>
                <w:sz w:val="20"/>
              </w:rPr>
            </w:pPr>
            <w:r w:rsidRPr="001926D2">
              <w:rPr>
                <w:rFonts w:ascii="Helvetica" w:eastAsia="Times New Roman" w:hAnsi="Helvetica"/>
                <w:b/>
                <w:sz w:val="20"/>
              </w:rPr>
              <w:t>Sport</w:t>
            </w:r>
          </w:p>
        </w:tc>
        <w:tc>
          <w:tcPr>
            <w:tcW w:w="720" w:type="dxa"/>
            <w:shd w:val="pct20" w:color="auto" w:fill="auto"/>
          </w:tcPr>
          <w:p w:rsidR="009F2EC6" w:rsidRPr="001926D2" w:rsidRDefault="009F2EC6" w:rsidP="009F2EC6">
            <w:pPr>
              <w:jc w:val="center"/>
              <w:rPr>
                <w:rFonts w:ascii="Helvetica" w:eastAsia="Times New Roman" w:hAnsi="Helvetica"/>
                <w:b/>
                <w:sz w:val="20"/>
              </w:rPr>
            </w:pPr>
            <w:r w:rsidRPr="001926D2">
              <w:rPr>
                <w:rFonts w:ascii="Helvetica" w:eastAsia="Times New Roman" w:hAnsi="Helvetica"/>
                <w:b/>
                <w:sz w:val="20"/>
              </w:rPr>
              <w:t>GSR</w:t>
            </w:r>
          </w:p>
        </w:tc>
        <w:tc>
          <w:tcPr>
            <w:tcW w:w="681" w:type="dxa"/>
            <w:shd w:val="pct20" w:color="auto" w:fill="auto"/>
          </w:tcPr>
          <w:p w:rsidR="009F2EC6" w:rsidRPr="001926D2" w:rsidRDefault="009F2EC6" w:rsidP="009F2EC6">
            <w:pPr>
              <w:jc w:val="center"/>
              <w:rPr>
                <w:rFonts w:ascii="Helvetica" w:eastAsia="Times New Roman" w:hAnsi="Helvetica"/>
                <w:b/>
                <w:sz w:val="20"/>
              </w:rPr>
            </w:pPr>
            <w:r w:rsidRPr="001926D2">
              <w:rPr>
                <w:rFonts w:ascii="Helvetica" w:eastAsia="Times New Roman" w:hAnsi="Helvetica"/>
                <w:b/>
                <w:sz w:val="20"/>
              </w:rPr>
              <w:t>FGR</w:t>
            </w:r>
          </w:p>
        </w:tc>
        <w:tc>
          <w:tcPr>
            <w:tcW w:w="681" w:type="dxa"/>
            <w:shd w:val="pct20" w:color="auto" w:fill="auto"/>
          </w:tcPr>
          <w:p w:rsidR="009F2EC6" w:rsidRPr="001926D2" w:rsidRDefault="009F2EC6" w:rsidP="009F2EC6">
            <w:pPr>
              <w:jc w:val="center"/>
              <w:rPr>
                <w:rFonts w:ascii="Helvetica" w:eastAsia="Times New Roman" w:hAnsi="Helvetica"/>
                <w:b/>
                <w:sz w:val="20"/>
              </w:rPr>
            </w:pPr>
            <w:r w:rsidRPr="001926D2">
              <w:rPr>
                <w:rFonts w:ascii="Helvetica" w:eastAsia="Times New Roman" w:hAnsi="Helvetica"/>
                <w:b/>
                <w:sz w:val="20"/>
              </w:rPr>
              <w:t>WSU</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1998</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93%</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52%</w:t>
            </w:r>
          </w:p>
        </w:tc>
        <w:tc>
          <w:tcPr>
            <w:tcW w:w="681" w:type="dxa"/>
          </w:tcPr>
          <w:p w:rsidR="009F2EC6" w:rsidRPr="001926D2" w:rsidRDefault="009F2EC6" w:rsidP="009F2EC6">
            <w:pPr>
              <w:jc w:val="center"/>
              <w:rPr>
                <w:rFonts w:ascii="Helvetica" w:eastAsia="Times New Roman" w:hAnsi="Helvetica"/>
                <w:sz w:val="20"/>
              </w:rPr>
            </w:pP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1999</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88%</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51%</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39%</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2000</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78%</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51%</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38%</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2001</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75%</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47%</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40%</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2002</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70%</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49%</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45%</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2003</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64%</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49%</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42%</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2004</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66%</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50%</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44%</w:t>
            </w:r>
          </w:p>
        </w:tc>
      </w:tr>
      <w:tr w:rsidR="009F2EC6" w:rsidRPr="001926D2">
        <w:tc>
          <w:tcPr>
            <w:tcW w:w="1458"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2005</w:t>
            </w:r>
          </w:p>
        </w:tc>
        <w:tc>
          <w:tcPr>
            <w:tcW w:w="90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Overall</w:t>
            </w:r>
          </w:p>
        </w:tc>
        <w:tc>
          <w:tcPr>
            <w:tcW w:w="720"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62%</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48%</w:t>
            </w:r>
          </w:p>
        </w:tc>
        <w:tc>
          <w:tcPr>
            <w:tcW w:w="681" w:type="dxa"/>
          </w:tcPr>
          <w:p w:rsidR="009F2EC6" w:rsidRPr="001926D2" w:rsidRDefault="009F2EC6" w:rsidP="009F2EC6">
            <w:pPr>
              <w:jc w:val="center"/>
              <w:rPr>
                <w:rFonts w:ascii="Helvetica" w:eastAsia="Times New Roman" w:hAnsi="Helvetica"/>
                <w:sz w:val="20"/>
              </w:rPr>
            </w:pPr>
            <w:r w:rsidRPr="001926D2">
              <w:rPr>
                <w:rFonts w:ascii="Helvetica" w:eastAsia="Times New Roman" w:hAnsi="Helvetica"/>
                <w:sz w:val="20"/>
              </w:rPr>
              <w:t>43%</w:t>
            </w:r>
          </w:p>
        </w:tc>
      </w:tr>
      <w:tr w:rsidR="00677EBB" w:rsidRPr="001926D2">
        <w:tc>
          <w:tcPr>
            <w:tcW w:w="1458" w:type="dxa"/>
          </w:tcPr>
          <w:p w:rsidR="00677EBB" w:rsidRPr="001926D2" w:rsidRDefault="00677EBB" w:rsidP="009F2EC6">
            <w:pPr>
              <w:jc w:val="center"/>
              <w:rPr>
                <w:rFonts w:ascii="Helvetica" w:eastAsia="Times New Roman" w:hAnsi="Helvetica"/>
                <w:sz w:val="20"/>
              </w:rPr>
            </w:pPr>
            <w:r>
              <w:rPr>
                <w:rFonts w:ascii="Helvetica" w:eastAsia="Times New Roman" w:hAnsi="Helvetica"/>
                <w:sz w:val="20"/>
              </w:rPr>
              <w:t>2006</w:t>
            </w:r>
          </w:p>
        </w:tc>
        <w:tc>
          <w:tcPr>
            <w:tcW w:w="900" w:type="dxa"/>
          </w:tcPr>
          <w:p w:rsidR="00677EBB" w:rsidRPr="001926D2" w:rsidRDefault="00677EBB" w:rsidP="009F2EC6">
            <w:pPr>
              <w:jc w:val="center"/>
              <w:rPr>
                <w:rFonts w:ascii="Helvetica" w:eastAsia="Times New Roman" w:hAnsi="Helvetica"/>
                <w:sz w:val="20"/>
              </w:rPr>
            </w:pPr>
            <w:r>
              <w:rPr>
                <w:rFonts w:ascii="Helvetica" w:eastAsia="Times New Roman" w:hAnsi="Helvetica"/>
                <w:sz w:val="20"/>
              </w:rPr>
              <w:t>Overall</w:t>
            </w:r>
          </w:p>
        </w:tc>
        <w:tc>
          <w:tcPr>
            <w:tcW w:w="720" w:type="dxa"/>
          </w:tcPr>
          <w:p w:rsidR="00677EBB" w:rsidRPr="001926D2" w:rsidRDefault="00677EBB" w:rsidP="009F2EC6">
            <w:pPr>
              <w:jc w:val="center"/>
              <w:rPr>
                <w:rFonts w:ascii="Helvetica" w:eastAsia="Times New Roman" w:hAnsi="Helvetica"/>
                <w:sz w:val="20"/>
              </w:rPr>
            </w:pPr>
            <w:r>
              <w:rPr>
                <w:rFonts w:ascii="Helvetica" w:eastAsia="Times New Roman" w:hAnsi="Helvetica"/>
                <w:sz w:val="20"/>
              </w:rPr>
              <w:t>61%</w:t>
            </w:r>
          </w:p>
        </w:tc>
        <w:tc>
          <w:tcPr>
            <w:tcW w:w="681" w:type="dxa"/>
          </w:tcPr>
          <w:p w:rsidR="00677EBB" w:rsidRPr="001926D2" w:rsidRDefault="00677EBB" w:rsidP="009F2EC6">
            <w:pPr>
              <w:jc w:val="center"/>
              <w:rPr>
                <w:rFonts w:ascii="Helvetica" w:eastAsia="Times New Roman" w:hAnsi="Helvetica"/>
                <w:sz w:val="20"/>
              </w:rPr>
            </w:pPr>
            <w:r>
              <w:rPr>
                <w:rFonts w:ascii="Helvetica" w:eastAsia="Times New Roman" w:hAnsi="Helvetica"/>
                <w:sz w:val="20"/>
              </w:rPr>
              <w:t>51%</w:t>
            </w:r>
          </w:p>
        </w:tc>
        <w:tc>
          <w:tcPr>
            <w:tcW w:w="681" w:type="dxa"/>
          </w:tcPr>
          <w:p w:rsidR="00677EBB" w:rsidRPr="001926D2" w:rsidRDefault="00677EBB" w:rsidP="009F2EC6">
            <w:pPr>
              <w:jc w:val="center"/>
              <w:rPr>
                <w:rFonts w:ascii="Helvetica" w:eastAsia="Times New Roman" w:hAnsi="Helvetica"/>
                <w:sz w:val="20"/>
              </w:rPr>
            </w:pPr>
            <w:r>
              <w:rPr>
                <w:rFonts w:ascii="Helvetica" w:eastAsia="Times New Roman" w:hAnsi="Helvetica"/>
                <w:sz w:val="20"/>
              </w:rPr>
              <w:t>45%</w:t>
            </w:r>
          </w:p>
        </w:tc>
      </w:tr>
    </w:tbl>
    <w:p w:rsidR="009F2EC6" w:rsidRPr="001926D2" w:rsidRDefault="009F2EC6" w:rsidP="009F2EC6">
      <w:pPr>
        <w:rPr>
          <w:rFonts w:ascii="Helvetica" w:hAnsi="Helvetica"/>
          <w:sz w:val="20"/>
        </w:rPr>
      </w:pPr>
    </w:p>
    <w:p w:rsidR="009F2EC6" w:rsidRDefault="00677EBB" w:rsidP="009F2EC6">
      <w:pPr>
        <w:numPr>
          <w:ilvl w:val="0"/>
          <w:numId w:val="5"/>
        </w:numPr>
        <w:rPr>
          <w:rFonts w:ascii="Helvetica" w:hAnsi="Helvetica"/>
          <w:sz w:val="20"/>
        </w:rPr>
      </w:pPr>
      <w:r>
        <w:rPr>
          <w:rFonts w:ascii="Helvetica" w:hAnsi="Helvetica"/>
          <w:sz w:val="20"/>
        </w:rPr>
        <w:t>Continued</w:t>
      </w:r>
      <w:r w:rsidR="009F2EC6" w:rsidRPr="001926D2">
        <w:rPr>
          <w:rFonts w:ascii="Helvetica" w:hAnsi="Helvetica"/>
          <w:sz w:val="20"/>
        </w:rPr>
        <w:t xml:space="preserve"> a Graduation Initiative to analyze reasons for the current graduation trend and develop programs to assist student-athletes in graduating in four years (GSR-six years).  </w:t>
      </w:r>
    </w:p>
    <w:p w:rsidR="009F2EC6" w:rsidRPr="001926D2" w:rsidRDefault="00677EBB" w:rsidP="009F2EC6">
      <w:pPr>
        <w:numPr>
          <w:ilvl w:val="0"/>
          <w:numId w:val="5"/>
        </w:numPr>
        <w:rPr>
          <w:rFonts w:ascii="Helvetica" w:hAnsi="Helvetica"/>
          <w:sz w:val="20"/>
        </w:rPr>
      </w:pPr>
      <w:r>
        <w:rPr>
          <w:rFonts w:ascii="Helvetica" w:hAnsi="Helvetica"/>
          <w:sz w:val="20"/>
        </w:rPr>
        <w:t>Utilizing</w:t>
      </w:r>
      <w:r w:rsidR="009F2EC6">
        <w:rPr>
          <w:rFonts w:ascii="Helvetica" w:hAnsi="Helvetica"/>
          <w:sz w:val="20"/>
        </w:rPr>
        <w:t xml:space="preserve"> Developmental Math program to increase s</w:t>
      </w:r>
      <w:r>
        <w:rPr>
          <w:rFonts w:ascii="Helvetica" w:hAnsi="Helvetica"/>
          <w:sz w:val="20"/>
        </w:rPr>
        <w:t>uccess rate using an</w:t>
      </w:r>
      <w:r w:rsidR="009F2EC6">
        <w:rPr>
          <w:rFonts w:ascii="Helvetica" w:hAnsi="Helvetica"/>
          <w:sz w:val="20"/>
        </w:rPr>
        <w:t xml:space="preserve"> Accuprep course, </w:t>
      </w:r>
      <w:r>
        <w:rPr>
          <w:rFonts w:ascii="Helvetica" w:hAnsi="Helvetica"/>
          <w:sz w:val="20"/>
        </w:rPr>
        <w:t xml:space="preserve">Flipped Math classes, </w:t>
      </w:r>
      <w:r w:rsidR="009F2EC6">
        <w:rPr>
          <w:rFonts w:ascii="Helvetica" w:hAnsi="Helvetica"/>
          <w:sz w:val="20"/>
        </w:rPr>
        <w:t>and tutoring sessions.</w:t>
      </w:r>
    </w:p>
    <w:p w:rsidR="009F2EC6" w:rsidRPr="001926D2" w:rsidRDefault="009F2EC6" w:rsidP="009F2EC6">
      <w:pPr>
        <w:rPr>
          <w:rFonts w:ascii="Helvetica" w:hAnsi="Helvetica"/>
          <w:sz w:val="20"/>
        </w:rPr>
      </w:pPr>
    </w:p>
    <w:p w:rsidR="009F2EC6" w:rsidRPr="001926D2" w:rsidRDefault="009F2EC6" w:rsidP="009F2EC6">
      <w:pPr>
        <w:rPr>
          <w:rFonts w:ascii="Helvetica" w:hAnsi="Helvetica"/>
          <w:sz w:val="20"/>
        </w:rPr>
      </w:pPr>
      <w:r w:rsidRPr="001926D2">
        <w:rPr>
          <w:rFonts w:ascii="Helvetica" w:hAnsi="Helvetica"/>
          <w:b/>
          <w:sz w:val="20"/>
          <w:u w:val="single"/>
        </w:rPr>
        <w:t>Student Athlete Equity/Well-Being Report</w:t>
      </w:r>
      <w:r>
        <w:rPr>
          <w:rFonts w:ascii="Helvetica" w:hAnsi="Helvetica"/>
          <w:b/>
          <w:sz w:val="20"/>
          <w:u w:val="single"/>
        </w:rPr>
        <w:t>s</w:t>
      </w:r>
      <w:r w:rsidRPr="001926D2">
        <w:rPr>
          <w:rFonts w:ascii="Helvetica" w:hAnsi="Helvetica"/>
          <w:b/>
          <w:sz w:val="20"/>
          <w:u w:val="single"/>
        </w:rPr>
        <w:t xml:space="preserve"> </w:t>
      </w:r>
    </w:p>
    <w:p w:rsidR="009F2EC6" w:rsidRPr="001926D2" w:rsidRDefault="009F2EC6" w:rsidP="009F2EC6">
      <w:pPr>
        <w:rPr>
          <w:rFonts w:ascii="Helvetica" w:hAnsi="Helvetica"/>
          <w:sz w:val="20"/>
        </w:rPr>
      </w:pPr>
      <w:r>
        <w:rPr>
          <w:rFonts w:ascii="Helvetica" w:hAnsi="Helvetica"/>
          <w:sz w:val="20"/>
        </w:rPr>
        <w:t>T</w:t>
      </w:r>
      <w:r w:rsidRPr="001926D2">
        <w:rPr>
          <w:rFonts w:ascii="Helvetica" w:hAnsi="Helvetica"/>
          <w:sz w:val="20"/>
        </w:rPr>
        <w:t xml:space="preserve">he Committee for Student-Athlete Equity/Well Being collects data each year (surveys, exit interviews, focus groups, demographic statistics, etc.) and prepares a report analyzing how the WSU Athletic Department is implementing recommendations from </w:t>
      </w:r>
      <w:r>
        <w:rPr>
          <w:rFonts w:ascii="Helvetica" w:hAnsi="Helvetica"/>
          <w:sz w:val="20"/>
        </w:rPr>
        <w:t>each</w:t>
      </w:r>
      <w:r w:rsidRPr="001926D2">
        <w:rPr>
          <w:rFonts w:ascii="Helvetica" w:hAnsi="Helvetica"/>
          <w:sz w:val="20"/>
        </w:rPr>
        <w:t xml:space="preserve"> report. </w:t>
      </w:r>
      <w:r w:rsidR="00677EBB">
        <w:rPr>
          <w:rFonts w:ascii="Helvetica" w:hAnsi="Helvetica"/>
          <w:sz w:val="20"/>
        </w:rPr>
        <w:t>Dashboard view is available online.</w:t>
      </w:r>
    </w:p>
    <w:p w:rsidR="009F2EC6" w:rsidRPr="001926D2" w:rsidRDefault="009F2EC6" w:rsidP="009F2EC6">
      <w:pPr>
        <w:rPr>
          <w:rFonts w:ascii="Helvetica" w:hAnsi="Helvetica"/>
          <w:sz w:val="20"/>
        </w:rPr>
      </w:pPr>
    </w:p>
    <w:p w:rsidR="003C10C9" w:rsidRPr="003C10C9" w:rsidRDefault="00677EBB" w:rsidP="003C10C9">
      <w:pPr>
        <w:rPr>
          <w:rFonts w:ascii="Helvetica" w:hAnsi="Helvetica" w:cs="Arial"/>
          <w:b/>
          <w:sz w:val="20"/>
          <w:szCs w:val="30"/>
          <w:u w:val="single"/>
        </w:rPr>
      </w:pPr>
      <w:r>
        <w:rPr>
          <w:rFonts w:ascii="Helvetica" w:hAnsi="Helvetica" w:cs="Arial"/>
          <w:b/>
          <w:sz w:val="20"/>
          <w:szCs w:val="30"/>
          <w:u w:val="single"/>
        </w:rPr>
        <w:t>201</w:t>
      </w:r>
      <w:r w:rsidR="009F2EC6" w:rsidRPr="00D85F8A">
        <w:rPr>
          <w:rFonts w:ascii="Helvetica" w:hAnsi="Helvetica" w:cs="Arial"/>
          <w:b/>
          <w:sz w:val="20"/>
          <w:szCs w:val="30"/>
          <w:u w:val="single"/>
        </w:rPr>
        <w:t xml:space="preserve">3 Weber State Athletics Academic Achievements </w:t>
      </w:r>
      <w:r w:rsidR="009F2EC6" w:rsidRPr="00D85F8A">
        <w:rPr>
          <w:rFonts w:ascii="Helvetica" w:hAnsi="Helvetica"/>
          <w:b/>
          <w:sz w:val="20"/>
          <w:u w:val="single"/>
        </w:rPr>
        <w:t>by WSU Student Athletes</w:t>
      </w:r>
    </w:p>
    <w:p w:rsidR="003C10C9" w:rsidRPr="003C10C9" w:rsidRDefault="003C10C9" w:rsidP="003C10C9">
      <w:pPr>
        <w:widowControl w:val="0"/>
        <w:autoSpaceDE w:val="0"/>
        <w:autoSpaceDN w:val="0"/>
        <w:adjustRightInd w:val="0"/>
        <w:rPr>
          <w:rFonts w:ascii="Arial" w:hAnsi="Arial" w:cs="Arial"/>
          <w:color w:val="1A1A1A"/>
          <w:sz w:val="20"/>
          <w:szCs w:val="20"/>
        </w:rPr>
      </w:pPr>
      <w:r w:rsidRPr="003C10C9">
        <w:rPr>
          <w:rFonts w:ascii="Arial" w:hAnsi="Arial" w:cs="Arial"/>
          <w:color w:val="1A1A1A"/>
          <w:sz w:val="20"/>
          <w:szCs w:val="20"/>
        </w:rPr>
        <w:lastRenderedPageBreak/>
        <w:t>Weber State had 130 student-athletes earn Academic All-Conference honors for Autumn</w:t>
      </w:r>
      <w:r>
        <w:rPr>
          <w:rFonts w:ascii="Arial" w:hAnsi="Arial" w:cs="Arial"/>
          <w:color w:val="1A1A1A"/>
          <w:sz w:val="20"/>
          <w:szCs w:val="20"/>
        </w:rPr>
        <w:t xml:space="preserve"> S</w:t>
      </w:r>
      <w:r w:rsidRPr="003C10C9">
        <w:rPr>
          <w:rFonts w:ascii="Arial" w:hAnsi="Arial" w:cs="Arial"/>
          <w:color w:val="1A1A1A"/>
          <w:sz w:val="20"/>
          <w:szCs w:val="20"/>
        </w:rPr>
        <w:t>emester, 2013.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 xml:space="preserve">The women's track and field team was honored by the United States Track and </w:t>
      </w:r>
      <w:proofErr w:type="spellStart"/>
      <w:r w:rsidRPr="003C10C9">
        <w:rPr>
          <w:rFonts w:ascii="Arial" w:hAnsi="Arial" w:cs="Arial"/>
          <w:color w:val="1A1A1A"/>
          <w:sz w:val="20"/>
          <w:szCs w:val="20"/>
        </w:rPr>
        <w:t>Feild</w:t>
      </w:r>
      <w:proofErr w:type="spellEnd"/>
      <w:r w:rsidRPr="003C10C9">
        <w:rPr>
          <w:rFonts w:ascii="Arial" w:hAnsi="Arial" w:cs="Arial"/>
          <w:color w:val="1A1A1A"/>
          <w:sz w:val="20"/>
          <w:szCs w:val="20"/>
        </w:rPr>
        <w:t xml:space="preserve"> and Cross Country Coaches Association (USTFCCCA) for having a 3.51 G.P.A, the 10th best in the nation.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The women's golf team had a cumulative GPA of 3.67, the 10th best in the nation.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The men's and women's track and field teams both earned All-Academic team honors from the USTFCCCA.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 xml:space="preserve">Sarah </w:t>
      </w:r>
      <w:proofErr w:type="spellStart"/>
      <w:r w:rsidRPr="003C10C9">
        <w:rPr>
          <w:rFonts w:ascii="Arial" w:hAnsi="Arial" w:cs="Arial"/>
          <w:color w:val="1A1A1A"/>
          <w:sz w:val="20"/>
          <w:szCs w:val="20"/>
        </w:rPr>
        <w:t>Callister</w:t>
      </w:r>
      <w:proofErr w:type="spellEnd"/>
      <w:r w:rsidRPr="003C10C9">
        <w:rPr>
          <w:rFonts w:ascii="Arial" w:hAnsi="Arial" w:cs="Arial"/>
          <w:color w:val="1A1A1A"/>
          <w:sz w:val="20"/>
          <w:szCs w:val="20"/>
        </w:rPr>
        <w:t xml:space="preserve"> and Amber Henry both earned Academic All-American honors and were named to the Academic All-District Team. Sarah </w:t>
      </w:r>
      <w:proofErr w:type="spellStart"/>
      <w:r w:rsidRPr="003C10C9">
        <w:rPr>
          <w:rFonts w:ascii="Arial" w:hAnsi="Arial" w:cs="Arial"/>
          <w:color w:val="1A1A1A"/>
          <w:sz w:val="20"/>
          <w:szCs w:val="20"/>
        </w:rPr>
        <w:t>Callister</w:t>
      </w:r>
      <w:proofErr w:type="spellEnd"/>
      <w:r w:rsidRPr="003C10C9">
        <w:rPr>
          <w:rFonts w:ascii="Arial" w:hAnsi="Arial" w:cs="Arial"/>
          <w:color w:val="1A1A1A"/>
          <w:sz w:val="20"/>
          <w:szCs w:val="20"/>
        </w:rPr>
        <w:t xml:space="preserve"> earned first team All-American honors, marking three straight years she has earned Academic All-American honors. Amber Henry was named to the Academic All-American third team.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 xml:space="preserve">Amber Henry, Tiffany </w:t>
      </w:r>
      <w:proofErr w:type="spellStart"/>
      <w:r w:rsidRPr="003C10C9">
        <w:rPr>
          <w:rFonts w:ascii="Arial" w:hAnsi="Arial" w:cs="Arial"/>
          <w:color w:val="1A1A1A"/>
          <w:sz w:val="20"/>
          <w:szCs w:val="20"/>
        </w:rPr>
        <w:t>Hellstrom</w:t>
      </w:r>
      <w:proofErr w:type="spellEnd"/>
      <w:r w:rsidRPr="003C10C9">
        <w:rPr>
          <w:rFonts w:ascii="Arial" w:hAnsi="Arial" w:cs="Arial"/>
          <w:color w:val="1A1A1A"/>
          <w:sz w:val="20"/>
          <w:szCs w:val="20"/>
        </w:rPr>
        <w:t xml:space="preserve"> and </w:t>
      </w:r>
      <w:proofErr w:type="spellStart"/>
      <w:r w:rsidRPr="003C10C9">
        <w:rPr>
          <w:rFonts w:ascii="Arial" w:hAnsi="Arial" w:cs="Arial"/>
          <w:color w:val="1A1A1A"/>
          <w:sz w:val="20"/>
          <w:szCs w:val="20"/>
        </w:rPr>
        <w:t>Laken</w:t>
      </w:r>
      <w:proofErr w:type="spellEnd"/>
      <w:r w:rsidRPr="003C10C9">
        <w:rPr>
          <w:rFonts w:ascii="Arial" w:hAnsi="Arial" w:cs="Arial"/>
          <w:color w:val="1A1A1A"/>
          <w:sz w:val="20"/>
          <w:szCs w:val="20"/>
        </w:rPr>
        <w:t xml:space="preserve"> </w:t>
      </w:r>
      <w:proofErr w:type="spellStart"/>
      <w:r w:rsidRPr="003C10C9">
        <w:rPr>
          <w:rFonts w:ascii="Arial" w:hAnsi="Arial" w:cs="Arial"/>
          <w:color w:val="1A1A1A"/>
          <w:sz w:val="20"/>
          <w:szCs w:val="20"/>
        </w:rPr>
        <w:t>Hintze</w:t>
      </w:r>
      <w:proofErr w:type="spellEnd"/>
      <w:r w:rsidRPr="003C10C9">
        <w:rPr>
          <w:rFonts w:ascii="Arial" w:hAnsi="Arial" w:cs="Arial"/>
          <w:color w:val="1A1A1A"/>
          <w:sz w:val="20"/>
          <w:szCs w:val="20"/>
        </w:rPr>
        <w:t xml:space="preserve"> were all named to the USTFCCCA All-Academic women's team.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 xml:space="preserve">Derek </w:t>
      </w:r>
      <w:proofErr w:type="spellStart"/>
      <w:r w:rsidRPr="003C10C9">
        <w:rPr>
          <w:rFonts w:ascii="Arial" w:hAnsi="Arial" w:cs="Arial"/>
          <w:color w:val="1A1A1A"/>
          <w:sz w:val="20"/>
          <w:szCs w:val="20"/>
        </w:rPr>
        <w:t>Harrebomee</w:t>
      </w:r>
      <w:proofErr w:type="spellEnd"/>
      <w:r w:rsidRPr="003C10C9">
        <w:rPr>
          <w:rFonts w:ascii="Arial" w:hAnsi="Arial" w:cs="Arial"/>
          <w:color w:val="1A1A1A"/>
          <w:sz w:val="20"/>
          <w:szCs w:val="20"/>
        </w:rPr>
        <w:t xml:space="preserve"> and Trevor Ricks were named to the men's All-Academic team.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Tony Epperson was a nominee for the National Football Foundation Scholar Athlete Award. </w:t>
      </w:r>
    </w:p>
    <w:p w:rsidR="003C10C9" w:rsidRPr="003C10C9" w:rsidRDefault="003C10C9" w:rsidP="00677EBB">
      <w:pPr>
        <w:widowControl w:val="0"/>
        <w:numPr>
          <w:ilvl w:val="0"/>
          <w:numId w:val="6"/>
        </w:numPr>
        <w:autoSpaceDE w:val="0"/>
        <w:autoSpaceDN w:val="0"/>
        <w:adjustRightInd w:val="0"/>
        <w:rPr>
          <w:rFonts w:ascii="Arial" w:hAnsi="Arial" w:cs="Arial"/>
          <w:color w:val="1A1A1A"/>
          <w:sz w:val="20"/>
          <w:szCs w:val="20"/>
        </w:rPr>
      </w:pPr>
      <w:r w:rsidRPr="003C10C9">
        <w:rPr>
          <w:rFonts w:ascii="Arial" w:hAnsi="Arial" w:cs="Arial"/>
          <w:color w:val="1A1A1A"/>
          <w:sz w:val="20"/>
          <w:szCs w:val="20"/>
        </w:rPr>
        <w:t>Jordan Herzog and Jeff Jones were named men's golf All-America Scholars. </w:t>
      </w:r>
    </w:p>
    <w:p w:rsidR="009F2EC6" w:rsidRPr="003C10C9" w:rsidRDefault="003C10C9" w:rsidP="00677EBB">
      <w:pPr>
        <w:pStyle w:val="ColorfulList-Accent1"/>
        <w:numPr>
          <w:ilvl w:val="0"/>
          <w:numId w:val="6"/>
        </w:numPr>
        <w:spacing w:after="0" w:line="240" w:lineRule="auto"/>
        <w:rPr>
          <w:rFonts w:ascii="Helvetica" w:hAnsi="Helvetica" w:cs="Arial"/>
          <w:sz w:val="20"/>
          <w:szCs w:val="20"/>
        </w:rPr>
      </w:pPr>
      <w:r w:rsidRPr="003C10C9">
        <w:rPr>
          <w:rFonts w:ascii="Arial" w:hAnsi="Arial" w:cs="Arial"/>
          <w:color w:val="1A1A1A"/>
          <w:sz w:val="20"/>
          <w:szCs w:val="20"/>
        </w:rPr>
        <w:t xml:space="preserve">Kelsey Chugg, </w:t>
      </w:r>
      <w:proofErr w:type="spellStart"/>
      <w:r w:rsidRPr="003C10C9">
        <w:rPr>
          <w:rFonts w:ascii="Arial" w:hAnsi="Arial" w:cs="Arial"/>
          <w:color w:val="1A1A1A"/>
          <w:sz w:val="20"/>
          <w:szCs w:val="20"/>
        </w:rPr>
        <w:t>Alli</w:t>
      </w:r>
      <w:proofErr w:type="spellEnd"/>
      <w:r w:rsidRPr="003C10C9">
        <w:rPr>
          <w:rFonts w:ascii="Arial" w:hAnsi="Arial" w:cs="Arial"/>
          <w:color w:val="1A1A1A"/>
          <w:sz w:val="20"/>
          <w:szCs w:val="20"/>
        </w:rPr>
        <w:t xml:space="preserve"> </w:t>
      </w:r>
      <w:proofErr w:type="spellStart"/>
      <w:r w:rsidRPr="003C10C9">
        <w:rPr>
          <w:rFonts w:ascii="Arial" w:hAnsi="Arial" w:cs="Arial"/>
          <w:color w:val="1A1A1A"/>
          <w:sz w:val="20"/>
          <w:szCs w:val="20"/>
        </w:rPr>
        <w:t>Cluff</w:t>
      </w:r>
      <w:proofErr w:type="spellEnd"/>
      <w:r w:rsidRPr="003C10C9">
        <w:rPr>
          <w:rFonts w:ascii="Arial" w:hAnsi="Arial" w:cs="Arial"/>
          <w:color w:val="1A1A1A"/>
          <w:sz w:val="20"/>
          <w:szCs w:val="20"/>
        </w:rPr>
        <w:t>, Kristie Jensen and Courtney Smith-</w:t>
      </w:r>
      <w:proofErr w:type="spellStart"/>
      <w:r w:rsidRPr="003C10C9">
        <w:rPr>
          <w:rFonts w:ascii="Arial" w:hAnsi="Arial" w:cs="Arial"/>
          <w:color w:val="1A1A1A"/>
          <w:sz w:val="20"/>
          <w:szCs w:val="20"/>
        </w:rPr>
        <w:t>Saffell</w:t>
      </w:r>
      <w:proofErr w:type="spellEnd"/>
      <w:r w:rsidRPr="003C10C9">
        <w:rPr>
          <w:rFonts w:ascii="Arial" w:hAnsi="Arial" w:cs="Arial"/>
          <w:color w:val="1A1A1A"/>
          <w:sz w:val="20"/>
          <w:szCs w:val="20"/>
        </w:rPr>
        <w:t xml:space="preserve"> all earned All-America Scholar honors for women's golf.</w:t>
      </w:r>
    </w:p>
    <w:p w:rsidR="005C7EF5" w:rsidRDefault="005C7EF5" w:rsidP="00677EBB">
      <w:pPr>
        <w:rPr>
          <w:rFonts w:ascii="Helvetica" w:hAnsi="Helvetica" w:cs="Verdana"/>
          <w:sz w:val="20"/>
          <w:szCs w:val="28"/>
        </w:rPr>
      </w:pPr>
    </w:p>
    <w:p w:rsidR="005C7EF5" w:rsidRPr="00677EBB" w:rsidRDefault="005C7EF5" w:rsidP="00446A61">
      <w:pPr>
        <w:widowControl w:val="0"/>
        <w:autoSpaceDE w:val="0"/>
        <w:autoSpaceDN w:val="0"/>
        <w:adjustRightInd w:val="0"/>
        <w:jc w:val="center"/>
        <w:rPr>
          <w:rFonts w:ascii="Arial" w:hAnsi="Arial" w:cs="Arial"/>
          <w:sz w:val="28"/>
          <w:szCs w:val="28"/>
        </w:rPr>
      </w:pPr>
      <w:r w:rsidRPr="00677EBB">
        <w:rPr>
          <w:rFonts w:ascii="Times" w:hAnsi="Times" w:cs="Times"/>
          <w:b/>
          <w:bCs/>
          <w:sz w:val="28"/>
          <w:szCs w:val="28"/>
        </w:rPr>
        <w:t>WEBER STATE, SOUTHERN UTAH</w:t>
      </w:r>
      <w:r w:rsidR="00677EBB" w:rsidRPr="00677EBB">
        <w:rPr>
          <w:rFonts w:ascii="Arial" w:hAnsi="Arial" w:cs="Arial"/>
          <w:sz w:val="28"/>
          <w:szCs w:val="28"/>
        </w:rPr>
        <w:t xml:space="preserve"> </w:t>
      </w:r>
      <w:r w:rsidRPr="00677EBB">
        <w:rPr>
          <w:rFonts w:ascii="Times" w:hAnsi="Times" w:cs="Times"/>
          <w:b/>
          <w:bCs/>
          <w:sz w:val="28"/>
          <w:szCs w:val="28"/>
        </w:rPr>
        <w:t>TIE FOR SAAC CONFERENCE CUP</w:t>
      </w:r>
    </w:p>
    <w:p w:rsidR="005C7EF5" w:rsidRPr="00D20E7D" w:rsidRDefault="005C7EF5" w:rsidP="005C7EF5">
      <w:pPr>
        <w:widowControl w:val="0"/>
        <w:autoSpaceDE w:val="0"/>
        <w:autoSpaceDN w:val="0"/>
        <w:adjustRightInd w:val="0"/>
        <w:rPr>
          <w:rFonts w:ascii="Arial" w:hAnsi="Arial" w:cs="Arial"/>
          <w:sz w:val="22"/>
          <w:szCs w:val="22"/>
        </w:rPr>
      </w:pPr>
      <w:r w:rsidRPr="00D20E7D">
        <w:rPr>
          <w:rFonts w:ascii="Times" w:hAnsi="Times" w:cs="Times"/>
          <w:sz w:val="22"/>
          <w:szCs w:val="22"/>
        </w:rPr>
        <w:t>OGDEN, Utah (May 2, 2014) - The Student-Athlete Advisory Committees (SAAC) from Southern Utah University and Weber State University tied for this year’s Big Sky Conference SAAC Cup, the league announced Friday.</w:t>
      </w:r>
    </w:p>
    <w:p w:rsidR="005C7EF5" w:rsidRPr="00D20E7D" w:rsidRDefault="005C7EF5" w:rsidP="00677EBB">
      <w:pPr>
        <w:widowControl w:val="0"/>
        <w:autoSpaceDE w:val="0"/>
        <w:autoSpaceDN w:val="0"/>
        <w:adjustRightInd w:val="0"/>
        <w:ind w:firstLine="720"/>
        <w:rPr>
          <w:rFonts w:ascii="Arial" w:hAnsi="Arial" w:cs="Arial"/>
          <w:sz w:val="22"/>
          <w:szCs w:val="22"/>
        </w:rPr>
      </w:pPr>
      <w:r w:rsidRPr="00D20E7D">
        <w:rPr>
          <w:rFonts w:ascii="Times" w:hAnsi="Times" w:cs="Times"/>
          <w:sz w:val="22"/>
          <w:szCs w:val="22"/>
        </w:rPr>
        <w:t>SAAC members from across the Big Sky Conference competed in a year-long competition that included three separate contests. The groups held a “Quarter Drive,” solicited donations for a “School Supply Drive” and battled to accumulate the most volunteer hours from Oct. 15-April 15.</w:t>
      </w:r>
    </w:p>
    <w:p w:rsidR="005C7EF5" w:rsidRPr="00D20E7D" w:rsidRDefault="005C7EF5" w:rsidP="005C7EF5">
      <w:pPr>
        <w:widowControl w:val="0"/>
        <w:autoSpaceDE w:val="0"/>
        <w:autoSpaceDN w:val="0"/>
        <w:adjustRightInd w:val="0"/>
        <w:rPr>
          <w:rFonts w:ascii="Arial" w:hAnsi="Arial" w:cs="Arial"/>
          <w:sz w:val="22"/>
          <w:szCs w:val="22"/>
        </w:rPr>
      </w:pPr>
      <w:r w:rsidRPr="00D20E7D">
        <w:rPr>
          <w:rFonts w:ascii="Times" w:hAnsi="Times" w:cs="Times"/>
          <w:sz w:val="22"/>
          <w:szCs w:val="22"/>
        </w:rPr>
        <w:t>Southern Utah tallied 4,446 volunteer hours, raised $568 in the “Quarter Drive,” and garnered 2,275 total points in the “School Supply Drive.’’ Weber State led all institutions with 5,771 points in the “School Supply Drive,” raised $758 in the “Quarter Drive,’’ and registered 1,822 volunteer hours.</w:t>
      </w:r>
    </w:p>
    <w:p w:rsidR="005C7EF5" w:rsidRPr="00D20E7D" w:rsidRDefault="005C7EF5" w:rsidP="005C7EF5">
      <w:pPr>
        <w:widowControl w:val="0"/>
        <w:autoSpaceDE w:val="0"/>
        <w:autoSpaceDN w:val="0"/>
        <w:adjustRightInd w:val="0"/>
        <w:rPr>
          <w:rFonts w:ascii="Arial" w:hAnsi="Arial" w:cs="Arial"/>
          <w:sz w:val="22"/>
          <w:szCs w:val="22"/>
        </w:rPr>
      </w:pPr>
      <w:r w:rsidRPr="00D20E7D">
        <w:rPr>
          <w:rFonts w:ascii="Times" w:hAnsi="Times" w:cs="Times"/>
          <w:sz w:val="22"/>
          <w:szCs w:val="22"/>
        </w:rPr>
        <w:t>Northern Colorado, the defending Conference Cup champion, totaled a league-high 5,457 volunteer hours, while Montana led the way by raising $1,310.50 in the “Quarter Drive.’’ In all, the SAAC groups combined for more than 25,100 volunteer hours.</w:t>
      </w:r>
    </w:p>
    <w:p w:rsidR="005C7EF5" w:rsidRPr="00D20E7D" w:rsidRDefault="005C7EF5" w:rsidP="00677EBB">
      <w:pPr>
        <w:widowControl w:val="0"/>
        <w:autoSpaceDE w:val="0"/>
        <w:autoSpaceDN w:val="0"/>
        <w:adjustRightInd w:val="0"/>
        <w:ind w:firstLine="720"/>
        <w:rPr>
          <w:rFonts w:ascii="Arial" w:hAnsi="Arial" w:cs="Arial"/>
          <w:sz w:val="22"/>
          <w:szCs w:val="22"/>
        </w:rPr>
      </w:pPr>
      <w:r w:rsidRPr="00D20E7D">
        <w:rPr>
          <w:rFonts w:ascii="Times" w:hAnsi="Times" w:cs="Times"/>
          <w:sz w:val="22"/>
          <w:szCs w:val="22"/>
        </w:rPr>
        <w:t>The money collected from the drives ($5,438.50) will be donated b</w:t>
      </w:r>
      <w:r w:rsidR="00677EBB">
        <w:rPr>
          <w:rFonts w:ascii="Times" w:hAnsi="Times" w:cs="Times"/>
          <w:sz w:val="22"/>
          <w:szCs w:val="22"/>
        </w:rPr>
        <w:t xml:space="preserve">y the Big Sky Conference to two </w:t>
      </w:r>
      <w:r w:rsidRPr="00D20E7D">
        <w:rPr>
          <w:rFonts w:ascii="Times" w:hAnsi="Times" w:cs="Times"/>
          <w:sz w:val="22"/>
          <w:szCs w:val="22"/>
        </w:rPr>
        <w:t>entities. In honor of the Big Sky’s 25th anniversary of sponsoring women’s sports, half of the money will be donated to the National Association of Collegiate Women Athletic Administrators (NACWAA). NACWAA is the premier leadership organization that empowers, develops, assists, celebrates, affirms, involves and honors women working in all fields of intercollegiate athletics.   The other half will be donated to Samaritans Feet, which the National SAAC is working with. Samaritans Feet accepts donations in order to collect shoes that are primarily donated to Third World countries.</w:t>
      </w:r>
    </w:p>
    <w:p w:rsidR="005C7EF5" w:rsidRPr="00D20E7D" w:rsidRDefault="005C7EF5" w:rsidP="00677EBB">
      <w:pPr>
        <w:widowControl w:val="0"/>
        <w:autoSpaceDE w:val="0"/>
        <w:autoSpaceDN w:val="0"/>
        <w:adjustRightInd w:val="0"/>
        <w:ind w:firstLine="720"/>
        <w:rPr>
          <w:rFonts w:ascii="Arial" w:hAnsi="Arial" w:cs="Arial"/>
          <w:sz w:val="22"/>
          <w:szCs w:val="22"/>
        </w:rPr>
      </w:pPr>
      <w:r w:rsidRPr="00D20E7D">
        <w:rPr>
          <w:rFonts w:ascii="Times" w:hAnsi="Times" w:cs="Times"/>
          <w:sz w:val="22"/>
          <w:szCs w:val="22"/>
        </w:rPr>
        <w:t>The Big Sky SAAC programs also combined for 12,652 points in the “School Supplies Drive.’’ Schools were awarded one point for every dollar donated, one point for items such as a notebook, package of crayons, or a package of pencils. A backpack donation was awarded with five points.</w:t>
      </w:r>
    </w:p>
    <w:p w:rsidR="005C7EF5" w:rsidRPr="00D20E7D" w:rsidRDefault="005C7EF5" w:rsidP="005C7EF5">
      <w:pPr>
        <w:widowControl w:val="0"/>
        <w:autoSpaceDE w:val="0"/>
        <w:autoSpaceDN w:val="0"/>
        <w:adjustRightInd w:val="0"/>
        <w:rPr>
          <w:rFonts w:ascii="Arial" w:hAnsi="Arial" w:cs="Arial"/>
          <w:sz w:val="22"/>
          <w:szCs w:val="22"/>
        </w:rPr>
      </w:pPr>
      <w:r w:rsidRPr="00D20E7D">
        <w:rPr>
          <w:rFonts w:ascii="Times" w:hAnsi="Times" w:cs="Times"/>
          <w:sz w:val="22"/>
          <w:szCs w:val="22"/>
        </w:rPr>
        <w:t>This is the third year the Big Sky Conference has sponsored the Conference Cup. Montana State was the inaugural winner. Northern Colorado captured the Cup last year. The winning school receives the traveling trophy. Since there was a tie this year, Weber State will gain the Cup for half of the upcoming year, while Southern Utah will hold it for the half the year.</w:t>
      </w:r>
    </w:p>
    <w:p w:rsidR="005C7EF5" w:rsidRPr="00677EBB" w:rsidRDefault="005C7EF5" w:rsidP="00677EBB">
      <w:pPr>
        <w:widowControl w:val="0"/>
        <w:autoSpaceDE w:val="0"/>
        <w:autoSpaceDN w:val="0"/>
        <w:adjustRightInd w:val="0"/>
        <w:ind w:firstLine="720"/>
        <w:rPr>
          <w:rFonts w:ascii="Arial" w:hAnsi="Arial" w:cs="Arial"/>
          <w:sz w:val="22"/>
          <w:szCs w:val="22"/>
        </w:rPr>
      </w:pPr>
      <w:r w:rsidRPr="00D20E7D">
        <w:rPr>
          <w:rFonts w:ascii="Times" w:hAnsi="Times" w:cs="Times"/>
          <w:sz w:val="22"/>
          <w:szCs w:val="22"/>
        </w:rPr>
        <w:t>The Big Sky SAAC is compromised of current student-athletes and serves five functions: addressing conference issues affecting student-athlete welfare, providing feedback and distributing information from the NCAA, increasing and improving student-athletes’ understanding of the legislative process, promoting student-athlete participation in the legislative process, and providing a forum for addressing student-athlete concerns.  The Big Sky Conference SAAC has also made it a priority to promote volunteerism in each institutions respective community.</w:t>
      </w:r>
    </w:p>
    <w:sectPr w:rsidR="005C7EF5" w:rsidRPr="00677EBB" w:rsidSect="009F2EC6">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089"/>
    <w:multiLevelType w:val="hybridMultilevel"/>
    <w:tmpl w:val="5F18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D7A85"/>
    <w:multiLevelType w:val="hybridMultilevel"/>
    <w:tmpl w:val="323A587E"/>
    <w:lvl w:ilvl="0" w:tplc="0E28673E">
      <w:start w:val="2011"/>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16E2A"/>
    <w:multiLevelType w:val="hybridMultilevel"/>
    <w:tmpl w:val="46B6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21444"/>
    <w:multiLevelType w:val="hybridMultilevel"/>
    <w:tmpl w:val="4B38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34D8C"/>
    <w:multiLevelType w:val="hybridMultilevel"/>
    <w:tmpl w:val="716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63E59"/>
    <w:multiLevelType w:val="hybridMultilevel"/>
    <w:tmpl w:val="22F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BEB"/>
    <w:rsid w:val="003C10C9"/>
    <w:rsid w:val="004434D8"/>
    <w:rsid w:val="00446A61"/>
    <w:rsid w:val="005C7EF5"/>
    <w:rsid w:val="005F3FBB"/>
    <w:rsid w:val="00677EBB"/>
    <w:rsid w:val="00813732"/>
    <w:rsid w:val="008A2CF6"/>
    <w:rsid w:val="009F2EC6"/>
    <w:rsid w:val="00B6372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73A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40BEB"/>
    <w:pPr>
      <w:spacing w:after="200" w:line="276" w:lineRule="auto"/>
      <w:ind w:left="720"/>
      <w:contextualSpacing/>
    </w:pPr>
    <w:rPr>
      <w:sz w:val="22"/>
      <w:szCs w:val="22"/>
    </w:rPr>
  </w:style>
  <w:style w:type="character" w:styleId="Hyperlink">
    <w:name w:val="Hyperlink"/>
    <w:uiPriority w:val="99"/>
    <w:semiHidden/>
    <w:unhideWhenUsed/>
    <w:rsid w:val="00064ED6"/>
    <w:rPr>
      <w:color w:val="0000FF"/>
      <w:u w:val="single"/>
    </w:rPr>
  </w:style>
  <w:style w:type="table" w:styleId="TableGrid">
    <w:name w:val="Table Grid"/>
    <w:basedOn w:val="TableNormal"/>
    <w:rsid w:val="001353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Oberg</dc:creator>
  <cp:lastModifiedBy>bstockberger</cp:lastModifiedBy>
  <cp:revision>2</cp:revision>
  <cp:lastPrinted>2014-05-06T14:34:00Z</cp:lastPrinted>
  <dcterms:created xsi:type="dcterms:W3CDTF">2014-09-15T20:20:00Z</dcterms:created>
  <dcterms:modified xsi:type="dcterms:W3CDTF">2014-09-15T20:20:00Z</dcterms:modified>
</cp:coreProperties>
</file>