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8D" w:rsidRDefault="001C0C8D" w:rsidP="001C0C8D">
      <w:r>
        <w:t>Course Name: Adult Skills Practicum</w:t>
      </w:r>
    </w:p>
    <w:p w:rsidR="001C0C8D" w:rsidRDefault="001C0C8D" w:rsidP="001C0C8D">
      <w:r>
        <w:t>Course Prefix: MSN</w:t>
      </w:r>
    </w:p>
    <w:p w:rsidR="001C0C8D" w:rsidRDefault="001C0C8D" w:rsidP="001C0C8D">
      <w:r>
        <w:t>Course Number: 6225</w:t>
      </w:r>
    </w:p>
    <w:p w:rsidR="001C0C8D" w:rsidRDefault="001C0C8D" w:rsidP="001C0C8D">
      <w:r>
        <w:t>Submitted by: Monte Roberts, monteroberts1@weber.edu</w:t>
      </w:r>
    </w:p>
    <w:p w:rsidR="001C0C8D" w:rsidRDefault="001C0C8D" w:rsidP="001C0C8D"/>
    <w:p w:rsidR="001C0C8D" w:rsidRDefault="001C0C8D" w:rsidP="001C0C8D">
      <w:r>
        <w:t>Current Date: 2/16/2015 College: Health Professions</w:t>
      </w:r>
    </w:p>
    <w:p w:rsidR="001C0C8D" w:rsidRDefault="001C0C8D" w:rsidP="001C0C8D">
      <w:r>
        <w:t>Department: Nursing</w:t>
      </w:r>
    </w:p>
    <w:p w:rsidR="001C0C8D" w:rsidRDefault="001C0C8D" w:rsidP="001C0C8D">
      <w:r>
        <w:t>From Term: Fall 2016</w:t>
      </w:r>
    </w:p>
    <w:p w:rsidR="001C0C8D" w:rsidRDefault="001C0C8D" w:rsidP="001C0C8D"/>
    <w:p w:rsidR="001C0C8D" w:rsidRDefault="001C0C8D" w:rsidP="001C0C8D">
      <w:r>
        <w:t>Substantive</w:t>
      </w:r>
    </w:p>
    <w:p w:rsidR="001C0C8D" w:rsidRDefault="001C0C8D" w:rsidP="001C0C8D">
      <w:proofErr w:type="gramStart"/>
      <w:r>
        <w:t>new</w:t>
      </w:r>
      <w:proofErr w:type="gramEnd"/>
      <w:r>
        <w:t xml:space="preserve"> </w:t>
      </w:r>
    </w:p>
    <w:p w:rsidR="001C0C8D" w:rsidRDefault="001C0C8D" w:rsidP="001C0C8D">
      <w:r>
        <w:t>Current Course Subject: N/A</w:t>
      </w:r>
    </w:p>
    <w:p w:rsidR="001C0C8D" w:rsidRDefault="001C0C8D" w:rsidP="001C0C8D">
      <w:r>
        <w:t>Current Course Number:</w:t>
      </w:r>
    </w:p>
    <w:p w:rsidR="001C0C8D" w:rsidRDefault="001C0C8D" w:rsidP="001C0C8D"/>
    <w:p w:rsidR="001C0C8D" w:rsidRDefault="001C0C8D" w:rsidP="001C0C8D">
      <w:r>
        <w:t>New/Revised Course Information:</w:t>
      </w:r>
    </w:p>
    <w:p w:rsidR="001C0C8D" w:rsidRDefault="001C0C8D" w:rsidP="001C0C8D">
      <w:r>
        <w:t>Subject: MSN</w:t>
      </w:r>
    </w:p>
    <w:p w:rsidR="001C0C8D" w:rsidRDefault="001C0C8D" w:rsidP="001C0C8D">
      <w:r>
        <w:t>Course Number: 6225</w:t>
      </w:r>
    </w:p>
    <w:p w:rsidR="001C0C8D" w:rsidRDefault="001C0C8D" w:rsidP="001C0C8D"/>
    <w:p w:rsidR="001C0C8D" w:rsidRDefault="001C0C8D" w:rsidP="001C0C8D">
      <w:r>
        <w:t>Check all that apply:</w:t>
      </w:r>
    </w:p>
    <w:p w:rsidR="001C0C8D" w:rsidRDefault="001C0C8D" w:rsidP="001C0C8D">
      <w:r>
        <w:t xml:space="preserve">This is for courses already approved for gen ed. Use a different form for proposing a new gen </w:t>
      </w:r>
      <w:proofErr w:type="spellStart"/>
      <w:proofErr w:type="gramStart"/>
      <w:r>
        <w:t>ed</w:t>
      </w:r>
      <w:proofErr w:type="spellEnd"/>
      <w:proofErr w:type="gramEnd"/>
      <w:r>
        <w:t xml:space="preserve"> designation.</w:t>
      </w:r>
    </w:p>
    <w:p w:rsidR="001C0C8D" w:rsidRDefault="001C0C8D" w:rsidP="001C0C8D">
      <w:r>
        <w:t>DV CAHULSPSSSENAIQLTATBTCTDTE</w:t>
      </w:r>
    </w:p>
    <w:p w:rsidR="001C0C8D" w:rsidRDefault="001C0C8D" w:rsidP="001C0C8D">
      <w:r>
        <w:t>Course Title: Adult Skills Practicum</w:t>
      </w:r>
    </w:p>
    <w:p w:rsidR="001C0C8D" w:rsidRDefault="001C0C8D" w:rsidP="001C0C8D">
      <w:r>
        <w:t xml:space="preserve">Abbreviated Course Title: </w:t>
      </w:r>
      <w:proofErr w:type="spellStart"/>
      <w:r>
        <w:t>Adlt</w:t>
      </w:r>
      <w:proofErr w:type="spellEnd"/>
      <w:r>
        <w:t xml:space="preserve"> </w:t>
      </w:r>
      <w:proofErr w:type="spellStart"/>
      <w:r>
        <w:t>Sklls</w:t>
      </w:r>
      <w:proofErr w:type="spellEnd"/>
      <w:r>
        <w:t xml:space="preserve"> </w:t>
      </w:r>
      <w:proofErr w:type="spellStart"/>
      <w:r>
        <w:t>Pract</w:t>
      </w:r>
      <w:proofErr w:type="spellEnd"/>
    </w:p>
    <w:p w:rsidR="001C0C8D" w:rsidRDefault="001C0C8D" w:rsidP="001C0C8D">
      <w:r>
        <w:t>Course Type: LEC</w:t>
      </w:r>
    </w:p>
    <w:p w:rsidR="001C0C8D" w:rsidRDefault="001C0C8D" w:rsidP="001C0C8D">
      <w:r>
        <w:t xml:space="preserve">Credit Hours: </w:t>
      </w:r>
      <w:proofErr w:type="gramStart"/>
      <w:r>
        <w:t>1</w:t>
      </w:r>
      <w:proofErr w:type="gramEnd"/>
    </w:p>
    <w:p w:rsidR="001C0C8D" w:rsidRDefault="001C0C8D" w:rsidP="001C0C8D">
      <w:proofErr w:type="gramStart"/>
      <w:r>
        <w:t>or</w:t>
      </w:r>
      <w:proofErr w:type="gramEnd"/>
      <w:r>
        <w:t xml:space="preserve"> if variable hours: to</w:t>
      </w:r>
    </w:p>
    <w:p w:rsidR="001C0C8D" w:rsidRDefault="001C0C8D" w:rsidP="001C0C8D"/>
    <w:p w:rsidR="001C0C8D" w:rsidRDefault="001C0C8D" w:rsidP="001C0C8D">
      <w:r>
        <w:t>Contact Hours:</w:t>
      </w:r>
    </w:p>
    <w:p w:rsidR="001C0C8D" w:rsidRDefault="001C0C8D" w:rsidP="001C0C8D">
      <w:r>
        <w:t xml:space="preserve">Lecture: </w:t>
      </w:r>
    </w:p>
    <w:p w:rsidR="001C0C8D" w:rsidRDefault="001C0C8D" w:rsidP="001C0C8D">
      <w:r>
        <w:t xml:space="preserve">Lab: </w:t>
      </w:r>
    </w:p>
    <w:p w:rsidR="001C0C8D" w:rsidRDefault="001C0C8D" w:rsidP="001C0C8D">
      <w:r>
        <w:t>Other:</w:t>
      </w:r>
    </w:p>
    <w:p w:rsidR="001C0C8D" w:rsidRDefault="001C0C8D" w:rsidP="001C0C8D"/>
    <w:p w:rsidR="001C0C8D" w:rsidRDefault="001C0C8D" w:rsidP="001C0C8D">
      <w:r>
        <w:t>Repeat Information:</w:t>
      </w:r>
    </w:p>
    <w:p w:rsidR="001C0C8D" w:rsidRDefault="001C0C8D" w:rsidP="001C0C8D">
      <w:r>
        <w:t xml:space="preserve">Limit: </w:t>
      </w:r>
      <w:proofErr w:type="gramStart"/>
      <w:r>
        <w:t>0</w:t>
      </w:r>
      <w:proofErr w:type="gramEnd"/>
    </w:p>
    <w:p w:rsidR="001C0C8D" w:rsidRDefault="001C0C8D" w:rsidP="001C0C8D">
      <w:r>
        <w:t xml:space="preserve">Max </w:t>
      </w:r>
      <w:proofErr w:type="spellStart"/>
      <w:r>
        <w:t>Hrs</w:t>
      </w:r>
      <w:proofErr w:type="spellEnd"/>
      <w:r>
        <w:t xml:space="preserve">: </w:t>
      </w:r>
      <w:proofErr w:type="gramStart"/>
      <w:r>
        <w:t>0</w:t>
      </w:r>
      <w:proofErr w:type="gramEnd"/>
    </w:p>
    <w:p w:rsidR="001C0C8D" w:rsidRDefault="001C0C8D" w:rsidP="001C0C8D">
      <w:r>
        <w:t>Grading Mode: standard</w:t>
      </w:r>
    </w:p>
    <w:p w:rsidR="001C0C8D" w:rsidRDefault="001C0C8D" w:rsidP="001C0C8D"/>
    <w:p w:rsidR="001C0C8D" w:rsidRDefault="001C0C8D" w:rsidP="001C0C8D">
      <w:r>
        <w:t>This course is/will be:</w:t>
      </w:r>
    </w:p>
    <w:p w:rsidR="001C0C8D" w:rsidRDefault="001C0C8D" w:rsidP="001C0C8D">
      <w:proofErr w:type="gramStart"/>
      <w:r>
        <w:t>a</w:t>
      </w:r>
      <w:proofErr w:type="gramEnd"/>
      <w:r>
        <w:t xml:space="preserve"> required course in a major program</w:t>
      </w:r>
    </w:p>
    <w:p w:rsidR="001C0C8D" w:rsidRDefault="001C0C8D" w:rsidP="001C0C8D">
      <w:proofErr w:type="gramStart"/>
      <w:r>
        <w:t>a</w:t>
      </w:r>
      <w:proofErr w:type="gramEnd"/>
      <w:r>
        <w:t xml:space="preserve"> required course in a minor program</w:t>
      </w:r>
    </w:p>
    <w:p w:rsidR="001C0C8D" w:rsidRDefault="001C0C8D" w:rsidP="001C0C8D">
      <w:proofErr w:type="gramStart"/>
      <w:r>
        <w:t>a</w:t>
      </w:r>
      <w:proofErr w:type="gramEnd"/>
      <w:r>
        <w:t xml:space="preserve"> required course in a 1- or 2- year program</w:t>
      </w:r>
    </w:p>
    <w:p w:rsidR="001C0C8D" w:rsidRDefault="001C0C8D" w:rsidP="001C0C8D">
      <w:proofErr w:type="gramStart"/>
      <w:r>
        <w:t>elective</w:t>
      </w:r>
      <w:proofErr w:type="gramEnd"/>
    </w:p>
    <w:p w:rsidR="001C0C8D" w:rsidRDefault="001C0C8D" w:rsidP="001C0C8D">
      <w:r>
        <w:t>Prerequisites/Co-requisites:</w:t>
      </w:r>
    </w:p>
    <w:p w:rsidR="001C0C8D" w:rsidRDefault="001C0C8D" w:rsidP="001C0C8D"/>
    <w:p w:rsidR="001C0C8D" w:rsidRDefault="001C0C8D" w:rsidP="001C0C8D">
      <w:r>
        <w:t>Course description (exactly as it will appear in the catalog, including prerequisites):</w:t>
      </w:r>
    </w:p>
    <w:p w:rsidR="001C0C8D" w:rsidRDefault="001C0C8D" w:rsidP="001C0C8D">
      <w:r>
        <w:t xml:space="preserve">This laboratory course provides opportunities for the nurse practitioner student to learn and practice ambulatory care skills used to diagnose and manage adult health care </w:t>
      </w:r>
      <w:proofErr w:type="spellStart"/>
      <w:r>
        <w:t>issues.Prerequisites</w:t>
      </w:r>
      <w:proofErr w:type="spellEnd"/>
      <w:r>
        <w:t xml:space="preserve"> MSN 6220 </w:t>
      </w:r>
      <w:r>
        <w:lastRenderedPageBreak/>
        <w:t>Physical Assessment &amp; Diagnostic Reasoning, Co-requisites MSN 6235 Advanced Practice Nursing: Adult, MSN 6236 Advanced Practice Nursing Clinical: Adult.</w:t>
      </w:r>
    </w:p>
    <w:p w:rsidR="001C0C8D" w:rsidRDefault="001C0C8D" w:rsidP="001C0C8D"/>
    <w:p w:rsidR="001C0C8D" w:rsidRDefault="001C0C8D" w:rsidP="001C0C8D">
      <w:r>
        <w:t>Justification for the new course or for changes to an existing course. (Note: Justification should emphasize academic rationale for the change or new course. This is particularly important for courses requesting upper-division status.)</w:t>
      </w:r>
    </w:p>
    <w:p w:rsidR="001C0C8D" w:rsidRDefault="001C0C8D" w:rsidP="001C0C8D">
      <w:r>
        <w:t>Employers and nurse practitioner graduates discuss the lack of time to practice skills to become competent in practice. This course integrates theory and clinical and provides an atmosphere where nurse practitioner students can practice, become confident and competent in the execution of advanced practice technique and skill. Students will utilize the newly renovated Health Professions lab developed to enhance the skills of nurse practitioner students.</w:t>
      </w:r>
    </w:p>
    <w:p w:rsidR="001C0C8D" w:rsidRDefault="001C0C8D" w:rsidP="001C0C8D"/>
    <w:p w:rsidR="001C0C8D" w:rsidRDefault="001C0C8D" w:rsidP="001C0C8D">
      <w:r>
        <w:t xml:space="preserve">INFORMATION PAGE </w:t>
      </w:r>
    </w:p>
    <w:p w:rsidR="001C0C8D" w:rsidRDefault="001C0C8D" w:rsidP="001C0C8D">
      <w:proofErr w:type="gramStart"/>
      <w:r>
        <w:t>for</w:t>
      </w:r>
      <w:proofErr w:type="gramEnd"/>
      <w:r>
        <w:t xml:space="preserve"> substantive proposals only</w:t>
      </w:r>
    </w:p>
    <w:p w:rsidR="001C0C8D" w:rsidRDefault="001C0C8D" w:rsidP="001C0C8D">
      <w:r>
        <w:t>1. Did this course receive unanimous approval within the Department?</w:t>
      </w:r>
    </w:p>
    <w:p w:rsidR="001C0C8D" w:rsidRDefault="001C0C8D" w:rsidP="001C0C8D">
      <w:proofErr w:type="gramStart"/>
      <w:r>
        <w:t>true</w:t>
      </w:r>
      <w:proofErr w:type="gramEnd"/>
    </w:p>
    <w:p w:rsidR="001C0C8D" w:rsidRDefault="001C0C8D" w:rsidP="001C0C8D">
      <w:r>
        <w:t>If not, what are the major concerns raised by the opponents?</w:t>
      </w:r>
    </w:p>
    <w:p w:rsidR="001C0C8D" w:rsidRDefault="001C0C8D" w:rsidP="001C0C8D"/>
    <w:p w:rsidR="001C0C8D" w:rsidRDefault="001C0C8D" w:rsidP="001C0C8D">
      <w:r>
        <w:t>2. If this is a new course proposal, could you achieve the desired results by revising an existing course within your department or by requiring an existing course in another department?</w:t>
      </w:r>
    </w:p>
    <w:p w:rsidR="001C0C8D" w:rsidRDefault="001C0C8D" w:rsidP="001C0C8D">
      <w:r>
        <w:t>No, this is a new required course for a new program. No other offerings meet the requirements for national licensure.</w:t>
      </w:r>
    </w:p>
    <w:p w:rsidR="001C0C8D" w:rsidRDefault="001C0C8D" w:rsidP="001C0C8D"/>
    <w:p w:rsidR="001C0C8D" w:rsidRDefault="001C0C8D" w:rsidP="001C0C8D"/>
    <w:p w:rsidR="001C0C8D" w:rsidRDefault="001C0C8D" w:rsidP="001C0C8D">
      <w:r>
        <w:t xml:space="preserve">3. How will the proposed course differ from similar offerings by other departments? Comment on any subject overlap between this course and topics generally taught by other departments, even if </w:t>
      </w:r>
      <w:proofErr w:type="gramStart"/>
      <w:r>
        <w:t>no similar courses are currently offered by the other departments</w:t>
      </w:r>
      <w:proofErr w:type="gramEnd"/>
      <w: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1C0C8D" w:rsidRDefault="001C0C8D" w:rsidP="001C0C8D">
      <w:r>
        <w:t xml:space="preserve">No other graduate course </w:t>
      </w:r>
      <w:proofErr w:type="gramStart"/>
      <w:r>
        <w:t>is offered</w:t>
      </w:r>
      <w:proofErr w:type="gramEnd"/>
      <w:r>
        <w:t>. This course will not overlap or affect any other departmental offerings.</w:t>
      </w:r>
    </w:p>
    <w:p w:rsidR="001C0C8D" w:rsidRDefault="001C0C8D" w:rsidP="001C0C8D">
      <w:r>
        <w:t>See Program Proposal.</w:t>
      </w:r>
    </w:p>
    <w:p w:rsidR="001C0C8D" w:rsidRDefault="001C0C8D" w:rsidP="001C0C8D"/>
    <w:p w:rsidR="001C0C8D" w:rsidRDefault="001C0C8D" w:rsidP="001C0C8D">
      <w:r>
        <w:t>4. Is this course required for certification/accreditation of a program?</w:t>
      </w:r>
    </w:p>
    <w:p w:rsidR="001C0C8D" w:rsidRDefault="001C0C8D" w:rsidP="001C0C8D">
      <w:proofErr w:type="gramStart"/>
      <w:r>
        <w:t>yes</w:t>
      </w:r>
      <w:proofErr w:type="gramEnd"/>
    </w:p>
    <w:p w:rsidR="001C0C8D" w:rsidRDefault="001C0C8D" w:rsidP="001C0C8D"/>
    <w:p w:rsidR="001C0C8D" w:rsidRDefault="001C0C8D" w:rsidP="001C0C8D">
      <w:r>
        <w:t>If so, a statement to that effect should appear in the justification and supporting documents should accompany this form.</w:t>
      </w:r>
    </w:p>
    <w:p w:rsidR="001C0C8D" w:rsidRDefault="001C0C8D" w:rsidP="001C0C8D">
      <w:r>
        <w:t xml:space="preserve">5. For course proposals, e-mail a syllabus to Faculty </w:t>
      </w:r>
      <w:proofErr w:type="gramStart"/>
      <w:r>
        <w:t>Senate which</w:t>
      </w:r>
      <w:proofErr w:type="gramEnd"/>
      <w:r>
        <w:t xml:space="preserve">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B62E3" w:rsidRDefault="001C0C8D" w:rsidP="001C0C8D">
      <w:r>
        <w:t xml:space="preserve">Please mail a signed approval </w:t>
      </w:r>
      <w:proofErr w:type="spellStart"/>
      <w:r>
        <w:t>pageto</w:t>
      </w:r>
      <w:proofErr w:type="spellEnd"/>
      <w:r>
        <w:t xml:space="preserve"> the Faculty Senate Office, MA 210J, MC 1033.</w:t>
      </w:r>
    </w:p>
    <w:p w:rsidR="008B62E3" w:rsidRDefault="008B62E3">
      <w:r>
        <w:br w:type="page"/>
      </w:r>
    </w:p>
    <w:p w:rsidR="008B62E3" w:rsidRPr="008B62E3" w:rsidRDefault="008B62E3" w:rsidP="008B62E3">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WEBER STATE UNIVERSITY</w:t>
      </w:r>
    </w:p>
    <w:p w:rsidR="008B62E3" w:rsidRPr="008B62E3" w:rsidRDefault="008B62E3" w:rsidP="008B62E3">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8B62E3">
        <w:rPr>
          <w:rFonts w:ascii="Times New Roman" w:eastAsia="MS Mincho" w:hAnsi="Times New Roman" w:cs="Times New Roman"/>
          <w:b/>
          <w:bCs/>
          <w:color w:val="262626"/>
          <w:sz w:val="24"/>
          <w:szCs w:val="24"/>
        </w:rPr>
        <w:t>SCHOOL OF NURSING</w:t>
      </w:r>
    </w:p>
    <w:p w:rsidR="008B62E3" w:rsidRPr="008B62E3" w:rsidRDefault="008B62E3" w:rsidP="008B62E3">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8B62E3">
        <w:rPr>
          <w:rFonts w:ascii="Times New Roman" w:eastAsia="MS Mincho" w:hAnsi="Times New Roman" w:cs="Times New Roman"/>
          <w:color w:val="343434"/>
          <w:sz w:val="24"/>
          <w:szCs w:val="24"/>
        </w:rPr>
        <w:t>Course Syllabus</w:t>
      </w:r>
    </w:p>
    <w:p w:rsidR="008B62E3" w:rsidRPr="008B62E3" w:rsidRDefault="008B62E3" w:rsidP="008B62E3">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r w:rsidRPr="008B62E3">
        <w:rPr>
          <w:rFonts w:ascii="Times New Roman" w:eastAsia="MS Mincho" w:hAnsi="Times New Roman" w:cs="Times New Roman"/>
          <w:b/>
          <w:bCs/>
          <w:color w:val="262626"/>
          <w:sz w:val="24"/>
          <w:szCs w:val="24"/>
        </w:rPr>
        <w:t>A.</w:t>
      </w:r>
      <w:r w:rsidRPr="008B62E3">
        <w:rPr>
          <w:rFonts w:ascii="Times New Roman" w:eastAsia="MS Mincho" w:hAnsi="Times New Roman" w:cs="Times New Roman"/>
          <w:b/>
          <w:bCs/>
          <w:color w:val="262626"/>
          <w:sz w:val="24"/>
          <w:szCs w:val="24"/>
        </w:rPr>
        <w:tab/>
        <w:t>COURSE NUMBER AND NAME:</w:t>
      </w:r>
    </w:p>
    <w:p w:rsidR="008B62E3" w:rsidRPr="008B62E3" w:rsidRDefault="008B62E3" w:rsidP="008B62E3">
      <w:pPr>
        <w:widowControl w:val="0"/>
        <w:autoSpaceDE w:val="0"/>
        <w:autoSpaceDN w:val="0"/>
        <w:adjustRightInd w:val="0"/>
        <w:spacing w:after="380"/>
        <w:contextualSpacing/>
        <w:rPr>
          <w:rFonts w:ascii="Cambria" w:eastAsia="MS Mincho" w:hAnsi="Cambria" w:cs="Times New Roman"/>
          <w:color w:val="000000"/>
          <w:sz w:val="24"/>
          <w:szCs w:val="24"/>
        </w:rPr>
      </w:pPr>
      <w:r w:rsidRPr="008B62E3">
        <w:rPr>
          <w:rFonts w:ascii="Times New Roman" w:eastAsia="MS Mincho" w:hAnsi="Times New Roman" w:cs="Times New Roman"/>
          <w:color w:val="262626"/>
          <w:sz w:val="24"/>
          <w:szCs w:val="24"/>
        </w:rPr>
        <w:t>           </w:t>
      </w:r>
      <w:r w:rsidRPr="008B62E3">
        <w:rPr>
          <w:rFonts w:ascii="Cambria" w:eastAsia="MS Mincho" w:hAnsi="Cambria" w:cs="Times New Roman"/>
          <w:color w:val="000000"/>
          <w:sz w:val="24"/>
          <w:szCs w:val="24"/>
        </w:rPr>
        <w:t>MSN 6225 Adult Skills Practicum</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r w:rsidRPr="008B62E3">
        <w:rPr>
          <w:rFonts w:ascii="Times New Roman" w:eastAsia="MS Mincho" w:hAnsi="Times New Roman" w:cs="Times New Roman"/>
          <w:b/>
          <w:bCs/>
          <w:color w:val="262626"/>
          <w:sz w:val="24"/>
          <w:szCs w:val="24"/>
        </w:rPr>
        <w:t>B.</w:t>
      </w:r>
      <w:r w:rsidRPr="008B62E3">
        <w:rPr>
          <w:rFonts w:ascii="Times New Roman" w:eastAsia="MS Mincho" w:hAnsi="Times New Roman" w:cs="Times New Roman"/>
          <w:b/>
          <w:bCs/>
          <w:color w:val="262626"/>
          <w:sz w:val="24"/>
          <w:szCs w:val="24"/>
        </w:rPr>
        <w:tab/>
        <w:t>CREDIT HOURS</w:t>
      </w:r>
      <w:r w:rsidRPr="008B62E3">
        <w:rPr>
          <w:rFonts w:ascii="Times New Roman" w:eastAsia="MS Mincho" w:hAnsi="Times New Roman" w:cs="Times New Roman"/>
          <w:color w:val="262626"/>
          <w:sz w:val="24"/>
          <w:szCs w:val="24"/>
        </w:rPr>
        <w:t>:</w:t>
      </w:r>
    </w:p>
    <w:p w:rsidR="008B62E3" w:rsidRPr="008B62E3" w:rsidRDefault="008B62E3" w:rsidP="008B62E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One (1) credit hour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r w:rsidRPr="008B62E3">
        <w:rPr>
          <w:rFonts w:ascii="Times New Roman" w:eastAsia="MS Mincho" w:hAnsi="Times New Roman" w:cs="Times New Roman"/>
          <w:b/>
          <w:bCs/>
          <w:color w:val="262626"/>
          <w:sz w:val="24"/>
          <w:szCs w:val="24"/>
        </w:rPr>
        <w:t>C.</w:t>
      </w:r>
      <w:r w:rsidRPr="008B62E3">
        <w:rPr>
          <w:rFonts w:ascii="Times New Roman" w:eastAsia="MS Mincho" w:hAnsi="Times New Roman" w:cs="Times New Roman"/>
          <w:b/>
          <w:bCs/>
          <w:color w:val="262626"/>
          <w:sz w:val="24"/>
          <w:szCs w:val="24"/>
        </w:rPr>
        <w:tab/>
        <w:t>COURSE DESCRIPTION:</w:t>
      </w:r>
    </w:p>
    <w:p w:rsidR="008B62E3" w:rsidRPr="008B62E3" w:rsidRDefault="008B62E3" w:rsidP="008B62E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This laboratory course provides opportunities for the nurse practitioner student to learn and practice ambulatory care skills used to diagnose and manage adult health care </w:t>
      </w:r>
      <w:proofErr w:type="spellStart"/>
      <w:r w:rsidRPr="008B62E3">
        <w:rPr>
          <w:rFonts w:ascii="Times New Roman" w:eastAsia="MS Mincho" w:hAnsi="Times New Roman" w:cs="Times New Roman"/>
          <w:color w:val="262626"/>
          <w:sz w:val="24"/>
          <w:szCs w:val="24"/>
        </w:rPr>
        <w:t>issues.Prerequisites</w:t>
      </w:r>
      <w:proofErr w:type="spellEnd"/>
      <w:r w:rsidRPr="008B62E3">
        <w:rPr>
          <w:rFonts w:ascii="Times New Roman" w:eastAsia="MS Mincho" w:hAnsi="Times New Roman" w:cs="Times New Roman"/>
          <w:color w:val="262626"/>
          <w:sz w:val="24"/>
          <w:szCs w:val="24"/>
        </w:rPr>
        <w:t xml:space="preserve"> MSN 6220 Physical Assessment &amp; Diagnostic Reasoning, Co-requisites MSN 6235 Advanced Practice Nursing: Adult, MSN 6236 Advanced Practice Nursing Clinical: Adult.  </w:t>
      </w:r>
    </w:p>
    <w:p w:rsidR="008B62E3" w:rsidRPr="008B62E3" w:rsidRDefault="008B62E3" w:rsidP="008B62E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  </w:t>
      </w:r>
      <w:r w:rsidRPr="008B62E3">
        <w:rPr>
          <w:rFonts w:ascii="Times New Roman" w:eastAsia="MS Mincho" w:hAnsi="Times New Roman" w:cs="Times New Roman"/>
          <w:b/>
          <w:bCs/>
          <w:color w:val="262626"/>
          <w:sz w:val="24"/>
          <w:szCs w:val="24"/>
        </w:rPr>
        <w:t>D.</w:t>
      </w:r>
      <w:r w:rsidRPr="008B62E3">
        <w:rPr>
          <w:rFonts w:ascii="Times New Roman" w:eastAsia="MS Mincho" w:hAnsi="Times New Roman" w:cs="Times New Roman"/>
          <w:b/>
          <w:bCs/>
          <w:color w:val="262626"/>
          <w:sz w:val="24"/>
          <w:szCs w:val="24"/>
        </w:rPr>
        <w:tab/>
        <w:t>COURSE OUTCOMES:</w:t>
      </w:r>
    </w:p>
    <w:p w:rsidR="008B62E3" w:rsidRPr="008B62E3" w:rsidRDefault="008B62E3" w:rsidP="008B62E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Upon completion of this course, the student will be able to:</w:t>
      </w:r>
    </w:p>
    <w:p w:rsidR="008B62E3" w:rsidRPr="008B62E3" w:rsidRDefault="008B62E3" w:rsidP="008B62E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8B62E3" w:rsidRPr="008B62E3" w:rsidRDefault="008B62E3" w:rsidP="008B62E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Demonstrate proficiency in selected advanced practice skills. </w:t>
      </w:r>
    </w:p>
    <w:p w:rsidR="008B62E3" w:rsidRPr="008B62E3" w:rsidRDefault="008B62E3" w:rsidP="008B62E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Collaborate with other care providers in diagnosis and performance of select advanced</w:t>
      </w:r>
    </w:p>
    <w:p w:rsidR="008B62E3" w:rsidRPr="008B62E3" w:rsidRDefault="008B62E3" w:rsidP="008B62E3">
      <w:pPr>
        <w:widowControl w:val="0"/>
        <w:tabs>
          <w:tab w:val="left" w:pos="220"/>
          <w:tab w:val="left" w:pos="720"/>
        </w:tabs>
        <w:autoSpaceDE w:val="0"/>
        <w:autoSpaceDN w:val="0"/>
        <w:adjustRightInd w:val="0"/>
        <w:ind w:left="36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ab/>
      </w:r>
      <w:proofErr w:type="gramStart"/>
      <w:r w:rsidRPr="008B62E3">
        <w:rPr>
          <w:rFonts w:ascii="Times New Roman" w:eastAsia="MS Mincho" w:hAnsi="Times New Roman" w:cs="Times New Roman"/>
          <w:color w:val="262626"/>
          <w:sz w:val="24"/>
          <w:szCs w:val="24"/>
        </w:rPr>
        <w:t>practice</w:t>
      </w:r>
      <w:proofErr w:type="gramEnd"/>
      <w:r w:rsidRPr="008B62E3">
        <w:rPr>
          <w:rFonts w:ascii="Times New Roman" w:eastAsia="MS Mincho" w:hAnsi="Times New Roman" w:cs="Times New Roman"/>
          <w:color w:val="262626"/>
          <w:sz w:val="24"/>
          <w:szCs w:val="24"/>
        </w:rPr>
        <w:t xml:space="preserve"> skills to assure the best patient outcomes. </w:t>
      </w:r>
    </w:p>
    <w:p w:rsidR="008B62E3" w:rsidRPr="008B62E3" w:rsidRDefault="008B62E3" w:rsidP="008B62E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Demonstrate best practice supported by evidence in performing advanced practice skills. </w:t>
      </w:r>
    </w:p>
    <w:p w:rsidR="008B62E3" w:rsidRPr="008B62E3" w:rsidRDefault="008B62E3" w:rsidP="008B62E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Demonstrate anticipation of variables that affect the quality of patient care </w:t>
      </w:r>
    </w:p>
    <w:p w:rsidR="008B62E3" w:rsidRPr="008B62E3" w:rsidRDefault="008B62E3" w:rsidP="008B62E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Apply principles of safe practice during performance of advanced practice skills.</w:t>
      </w:r>
    </w:p>
    <w:p w:rsidR="008B62E3" w:rsidRPr="008B62E3" w:rsidRDefault="008B62E3" w:rsidP="008B62E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Use technology to guide assessment, interventions (including skills), and patient referrals. </w:t>
      </w:r>
    </w:p>
    <w:p w:rsidR="008B62E3" w:rsidRPr="008B62E3" w:rsidRDefault="008B62E3" w:rsidP="008B62E3">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8B62E3" w:rsidRPr="008B62E3" w:rsidRDefault="008B62E3" w:rsidP="008B62E3">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8B62E3">
        <w:rPr>
          <w:rFonts w:ascii="Times New Roman" w:eastAsia="MS Mincho" w:hAnsi="Times New Roman" w:cs="Times New Roman"/>
          <w:b/>
          <w:bCs/>
          <w:color w:val="262626"/>
          <w:sz w:val="24"/>
          <w:szCs w:val="24"/>
        </w:rPr>
        <w:t>E.</w:t>
      </w:r>
      <w:r w:rsidRPr="008B62E3">
        <w:rPr>
          <w:rFonts w:ascii="Times New Roman" w:eastAsia="MS Mincho" w:hAnsi="Times New Roman" w:cs="Times New Roman"/>
          <w:b/>
          <w:bCs/>
          <w:color w:val="262626"/>
          <w:sz w:val="24"/>
          <w:szCs w:val="24"/>
        </w:rPr>
        <w:tab/>
        <w:t>COURSE CONCEPTS:</w:t>
      </w:r>
    </w:p>
    <w:p w:rsidR="008B62E3" w:rsidRPr="008B62E3" w:rsidRDefault="008B62E3" w:rsidP="008B62E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Assessment</w:t>
      </w:r>
    </w:p>
    <w:p w:rsidR="008B62E3" w:rsidRPr="008B62E3" w:rsidRDefault="008B62E3" w:rsidP="008B62E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Tissue Integrity</w:t>
      </w:r>
    </w:p>
    <w:p w:rsidR="008B62E3" w:rsidRPr="008B62E3" w:rsidRDefault="008B62E3" w:rsidP="008B62E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Perfusion</w:t>
      </w:r>
    </w:p>
    <w:p w:rsidR="008B62E3" w:rsidRPr="008B62E3" w:rsidRDefault="008B62E3" w:rsidP="008B62E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Mobility</w:t>
      </w:r>
    </w:p>
    <w:p w:rsidR="008B62E3" w:rsidRPr="008B62E3" w:rsidRDefault="008B62E3" w:rsidP="008B62E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Collaboration</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F.</w:t>
      </w:r>
      <w:r w:rsidRPr="008B62E3">
        <w:rPr>
          <w:rFonts w:ascii="Times New Roman" w:eastAsia="MS Mincho" w:hAnsi="Times New Roman" w:cs="Times New Roman"/>
          <w:b/>
          <w:bCs/>
          <w:color w:val="262626"/>
          <w:sz w:val="24"/>
          <w:szCs w:val="24"/>
        </w:rPr>
        <w:tab/>
        <w:t>TEACHING STRATEGIES:</w:t>
      </w:r>
    </w:p>
    <w:p w:rsidR="008B62E3" w:rsidRPr="008B62E3" w:rsidRDefault="008B62E3" w:rsidP="008B62E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Selected readings</w:t>
      </w:r>
    </w:p>
    <w:p w:rsidR="008B62E3" w:rsidRPr="008B62E3" w:rsidRDefault="008B62E3" w:rsidP="008B62E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Scholarly assignments designed to support development of an evidence-based innovation</w:t>
      </w:r>
    </w:p>
    <w:p w:rsidR="008B62E3" w:rsidRPr="008B62E3" w:rsidRDefault="008B62E3" w:rsidP="008B62E3">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and application</w:t>
      </w:r>
    </w:p>
    <w:p w:rsidR="008B62E3" w:rsidRPr="008B62E3" w:rsidRDefault="008B62E3" w:rsidP="008B62E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Skills presentations: Use of static models, interactive computer based technology, actual</w:t>
      </w:r>
    </w:p>
    <w:p w:rsidR="008B62E3" w:rsidRPr="008B62E3" w:rsidRDefault="008B62E3" w:rsidP="008B62E3">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practice with equipment used in the ambulatory care setting</w:t>
      </w:r>
    </w:p>
    <w:p w:rsidR="008B62E3" w:rsidRPr="008B62E3" w:rsidRDefault="008B62E3" w:rsidP="008B62E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Simulation activities</w:t>
      </w:r>
    </w:p>
    <w:p w:rsidR="008B62E3" w:rsidRPr="008B62E3" w:rsidRDefault="008B62E3" w:rsidP="008B62E3">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r w:rsidRPr="008B62E3">
        <w:rPr>
          <w:rFonts w:ascii="Times New Roman" w:eastAsia="MS Mincho" w:hAnsi="Times New Roman" w:cs="Times New Roman"/>
          <w:b/>
          <w:bCs/>
          <w:color w:val="262626"/>
          <w:sz w:val="24"/>
          <w:szCs w:val="24"/>
        </w:rPr>
        <w:t>G.         METHODS OF EVALUATION:</w:t>
      </w:r>
    </w:p>
    <w:p w:rsidR="008B62E3" w:rsidRPr="008B62E3" w:rsidRDefault="008B62E3" w:rsidP="008B62E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Skill competency testing</w:t>
      </w:r>
    </w:p>
    <w:p w:rsidR="008B62E3" w:rsidRPr="008B62E3" w:rsidRDefault="008B62E3" w:rsidP="008B62E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Lab participation and preparation. </w:t>
      </w:r>
    </w:p>
    <w:p w:rsidR="008B62E3" w:rsidRPr="008B62E3" w:rsidRDefault="008B62E3" w:rsidP="008B62E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Case studies and simulation activities</w:t>
      </w:r>
    </w:p>
    <w:p w:rsidR="008B62E3" w:rsidRPr="008B62E3" w:rsidRDefault="008B62E3" w:rsidP="008B62E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Peer Review</w:t>
      </w:r>
    </w:p>
    <w:p w:rsidR="008B62E3" w:rsidRPr="008B62E3" w:rsidRDefault="008B62E3" w:rsidP="008B62E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Debriefing</w:t>
      </w:r>
    </w:p>
    <w:p w:rsidR="008B62E3" w:rsidRPr="008B62E3" w:rsidRDefault="008B62E3" w:rsidP="008B62E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Testing</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Grading Scale:</w:t>
      </w:r>
    </w:p>
    <w:tbl>
      <w:tblPr>
        <w:tblW w:w="11115" w:type="dxa"/>
        <w:tblInd w:w="-889"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8B62E3" w:rsidRPr="008B62E3" w:rsidTr="008B62E3">
        <w:tc>
          <w:tcPr>
            <w:tcW w:w="286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66-63%  = D</w:t>
            </w:r>
          </w:p>
        </w:tc>
      </w:tr>
      <w:tr w:rsidR="008B62E3" w:rsidRPr="008B62E3" w:rsidTr="008B62E3">
        <w:tc>
          <w:tcPr>
            <w:tcW w:w="286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62-60%  = D-</w:t>
            </w:r>
          </w:p>
        </w:tc>
      </w:tr>
      <w:tr w:rsidR="008B62E3" w:rsidRPr="008B62E3" w:rsidTr="008B62E3">
        <w:tc>
          <w:tcPr>
            <w:tcW w:w="286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8B62E3" w:rsidRPr="008B62E3" w:rsidRDefault="008B62E3" w:rsidP="008B62E3">
            <w:pPr>
              <w:widowControl w:val="0"/>
              <w:autoSpaceDE w:val="0"/>
              <w:autoSpaceDN w:val="0"/>
              <w:adjustRightInd w:val="0"/>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59% and below=E</w:t>
            </w:r>
          </w:p>
        </w:tc>
      </w:tr>
    </w:tbl>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To receive a grade, all course requirements </w:t>
      </w:r>
      <w:proofErr w:type="gramStart"/>
      <w:r w:rsidRPr="008B62E3">
        <w:rPr>
          <w:rFonts w:ascii="Times New Roman" w:eastAsia="MS Mincho" w:hAnsi="Times New Roman" w:cs="Times New Roman"/>
          <w:color w:val="262626"/>
          <w:sz w:val="24"/>
          <w:szCs w:val="24"/>
        </w:rPr>
        <w:t>must be met</w:t>
      </w:r>
      <w:proofErr w:type="gramEnd"/>
      <w:r w:rsidRPr="008B62E3">
        <w:rPr>
          <w:rFonts w:ascii="Times New Roman" w:eastAsia="MS Mincho" w:hAnsi="Times New Roman" w:cs="Times New Roman"/>
          <w:color w:val="262626"/>
          <w:sz w:val="24"/>
          <w:szCs w:val="24"/>
        </w:rPr>
        <w:t>.</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8B62E3">
        <w:rPr>
          <w:rFonts w:ascii="Times New Roman" w:eastAsia="MS Mincho" w:hAnsi="Times New Roman" w:cs="Times New Roman"/>
          <w:b/>
          <w:bCs/>
          <w:color w:val="262626"/>
          <w:sz w:val="24"/>
          <w:szCs w:val="24"/>
        </w:rPr>
        <w:t>H.        REQUIRED TEXTS: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bCs/>
          <w:color w:val="262626"/>
          <w:sz w:val="24"/>
          <w:szCs w:val="24"/>
        </w:rPr>
      </w:pPr>
      <w:proofErr w:type="spellStart"/>
      <w:r w:rsidRPr="008B62E3">
        <w:rPr>
          <w:rFonts w:ascii="Times New Roman" w:eastAsia="MS Mincho" w:hAnsi="Times New Roman" w:cs="Times New Roman"/>
          <w:bCs/>
          <w:color w:val="262626"/>
          <w:sz w:val="24"/>
          <w:szCs w:val="24"/>
        </w:rPr>
        <w:t>Colyar</w:t>
      </w:r>
      <w:proofErr w:type="spellEnd"/>
      <w:r w:rsidRPr="008B62E3">
        <w:rPr>
          <w:rFonts w:ascii="Times New Roman" w:eastAsia="MS Mincho" w:hAnsi="Times New Roman" w:cs="Times New Roman"/>
          <w:bCs/>
          <w:color w:val="262626"/>
          <w:sz w:val="24"/>
          <w:szCs w:val="24"/>
        </w:rPr>
        <w:t xml:space="preserve">, M. R. (2015). </w:t>
      </w:r>
      <w:r w:rsidRPr="008B62E3">
        <w:rPr>
          <w:rFonts w:ascii="Times New Roman" w:eastAsia="MS Mincho" w:hAnsi="Times New Roman" w:cs="Times New Roman"/>
          <w:bCs/>
          <w:i/>
          <w:color w:val="262626"/>
          <w:sz w:val="24"/>
          <w:szCs w:val="24"/>
        </w:rPr>
        <w:t xml:space="preserve">Advanced </w:t>
      </w:r>
      <w:proofErr w:type="gramStart"/>
      <w:r w:rsidRPr="008B62E3">
        <w:rPr>
          <w:rFonts w:ascii="Times New Roman" w:eastAsia="MS Mincho" w:hAnsi="Times New Roman" w:cs="Times New Roman"/>
          <w:bCs/>
          <w:i/>
          <w:color w:val="262626"/>
          <w:sz w:val="24"/>
          <w:szCs w:val="24"/>
        </w:rPr>
        <w:t>practice nursing</w:t>
      </w:r>
      <w:proofErr w:type="gramEnd"/>
      <w:r w:rsidRPr="008B62E3">
        <w:rPr>
          <w:rFonts w:ascii="Times New Roman" w:eastAsia="MS Mincho" w:hAnsi="Times New Roman" w:cs="Times New Roman"/>
          <w:bCs/>
          <w:i/>
          <w:color w:val="262626"/>
          <w:sz w:val="24"/>
          <w:szCs w:val="24"/>
        </w:rPr>
        <w:t xml:space="preserve"> procedures</w:t>
      </w:r>
      <w:r w:rsidRPr="008B62E3">
        <w:rPr>
          <w:rFonts w:ascii="Times New Roman" w:eastAsia="MS Mincho" w:hAnsi="Times New Roman" w:cs="Times New Roman"/>
          <w:bCs/>
          <w:color w:val="262626"/>
          <w:sz w:val="24"/>
          <w:szCs w:val="24"/>
        </w:rPr>
        <w:t>. Philadelphia, PA: F. A. Davis.</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bCs/>
          <w:color w:val="262626"/>
          <w:sz w:val="24"/>
          <w:szCs w:val="24"/>
        </w:rPr>
      </w:pPr>
    </w:p>
    <w:p w:rsidR="008B62E3" w:rsidRPr="008B62E3" w:rsidRDefault="008B62E3" w:rsidP="008B62E3">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r w:rsidRPr="008B62E3">
        <w:rPr>
          <w:rFonts w:ascii="Times New Roman" w:eastAsia="MS Mincho" w:hAnsi="Times New Roman" w:cs="Times New Roman"/>
          <w:bCs/>
          <w:color w:val="262626"/>
          <w:sz w:val="24"/>
          <w:szCs w:val="24"/>
        </w:rPr>
        <w:t xml:space="preserve">Smith, W. &amp; Farrell, T. (2014). </w:t>
      </w:r>
      <w:r w:rsidRPr="008B62E3">
        <w:rPr>
          <w:rFonts w:ascii="Times New Roman" w:eastAsia="MS Mincho" w:hAnsi="Times New Roman" w:cs="Times New Roman"/>
          <w:bCs/>
          <w:i/>
          <w:color w:val="262626"/>
          <w:sz w:val="24"/>
          <w:szCs w:val="24"/>
        </w:rPr>
        <w:t>Radiology 101: The basics and fundamentals of imaging</w:t>
      </w:r>
      <w:r w:rsidRPr="008B62E3">
        <w:rPr>
          <w:rFonts w:ascii="Times New Roman" w:eastAsia="MS Mincho" w:hAnsi="Times New Roman" w:cs="Times New Roman"/>
          <w:bCs/>
          <w:color w:val="262626"/>
          <w:sz w:val="24"/>
          <w:szCs w:val="24"/>
        </w:rPr>
        <w:t xml:space="preserve"> (4</w:t>
      </w:r>
      <w:r w:rsidRPr="008B62E3">
        <w:rPr>
          <w:rFonts w:ascii="Times New Roman" w:eastAsia="MS Mincho" w:hAnsi="Times New Roman" w:cs="Times New Roman"/>
          <w:bCs/>
          <w:color w:val="262626"/>
          <w:sz w:val="24"/>
          <w:szCs w:val="24"/>
          <w:vertAlign w:val="superscript"/>
        </w:rPr>
        <w:t>th</w:t>
      </w:r>
      <w:r w:rsidRPr="008B62E3">
        <w:rPr>
          <w:rFonts w:ascii="Times New Roman" w:eastAsia="MS Mincho" w:hAnsi="Times New Roman" w:cs="Times New Roman"/>
          <w:bCs/>
          <w:color w:val="262626"/>
          <w:sz w:val="24"/>
          <w:szCs w:val="24"/>
        </w:rPr>
        <w:t xml:space="preserve"> </w:t>
      </w:r>
      <w:proofErr w:type="gramStart"/>
      <w:r w:rsidRPr="008B62E3">
        <w:rPr>
          <w:rFonts w:ascii="Times New Roman" w:eastAsia="MS Mincho" w:hAnsi="Times New Roman" w:cs="Times New Roman"/>
          <w:bCs/>
          <w:color w:val="262626"/>
          <w:sz w:val="24"/>
          <w:szCs w:val="24"/>
        </w:rPr>
        <w:t>ed</w:t>
      </w:r>
      <w:proofErr w:type="gramEnd"/>
      <w:r w:rsidRPr="008B62E3">
        <w:rPr>
          <w:rFonts w:ascii="Times New Roman" w:eastAsia="MS Mincho" w:hAnsi="Times New Roman" w:cs="Times New Roman"/>
          <w:bCs/>
          <w:color w:val="262626"/>
          <w:sz w:val="24"/>
          <w:szCs w:val="24"/>
        </w:rPr>
        <w:t>.).  Philadelphia, PA: Lippincott-Williams-Wilkins.</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Cs/>
          <w:color w:val="262626"/>
          <w:sz w:val="24"/>
          <w:szCs w:val="24"/>
        </w:rPr>
        <w:t>        </w:t>
      </w:r>
    </w:p>
    <w:p w:rsidR="008B62E3" w:rsidRPr="008B62E3" w:rsidRDefault="008B62E3" w:rsidP="008B62E3">
      <w:pPr>
        <w:widowControl w:val="0"/>
        <w:autoSpaceDE w:val="0"/>
        <w:autoSpaceDN w:val="0"/>
        <w:adjustRightInd w:val="0"/>
        <w:spacing w:after="380"/>
        <w:ind w:left="720" w:hanging="720"/>
        <w:contextualSpacing/>
        <w:rPr>
          <w:rFonts w:ascii="Times New Roman" w:eastAsia="Times New Roman" w:hAnsi="Times New Roman" w:cs="Times New Roman"/>
          <w:bCs/>
          <w:kern w:val="36"/>
          <w:sz w:val="24"/>
          <w:szCs w:val="24"/>
        </w:rPr>
      </w:pPr>
      <w:proofErr w:type="spellStart"/>
      <w:r w:rsidRPr="008B62E3">
        <w:rPr>
          <w:rFonts w:ascii="Times New Roman" w:eastAsia="MS Mincho" w:hAnsi="Times New Roman" w:cs="Times New Roman"/>
          <w:color w:val="262626"/>
          <w:sz w:val="24"/>
          <w:szCs w:val="24"/>
        </w:rPr>
        <w:t>Thaler</w:t>
      </w:r>
      <w:proofErr w:type="spellEnd"/>
      <w:r w:rsidRPr="008B62E3">
        <w:rPr>
          <w:rFonts w:ascii="Times New Roman" w:eastAsia="MS Mincho" w:hAnsi="Times New Roman" w:cs="Times New Roman"/>
          <w:color w:val="262626"/>
          <w:sz w:val="24"/>
          <w:szCs w:val="24"/>
        </w:rPr>
        <w:t xml:space="preserve">, M. S. (2015). </w:t>
      </w:r>
      <w:r w:rsidRPr="008B62E3">
        <w:rPr>
          <w:rFonts w:ascii="Times New Roman" w:eastAsia="Times New Roman" w:hAnsi="Times New Roman" w:cs="Times New Roman"/>
          <w:bCs/>
          <w:i/>
          <w:kern w:val="36"/>
          <w:sz w:val="24"/>
          <w:szCs w:val="24"/>
        </w:rPr>
        <w:t xml:space="preserve">The only EKG book </w:t>
      </w:r>
      <w:proofErr w:type="gramStart"/>
      <w:r w:rsidRPr="008B62E3">
        <w:rPr>
          <w:rFonts w:ascii="Times New Roman" w:eastAsia="Times New Roman" w:hAnsi="Times New Roman" w:cs="Times New Roman"/>
          <w:bCs/>
          <w:i/>
          <w:kern w:val="36"/>
          <w:sz w:val="24"/>
          <w:szCs w:val="24"/>
        </w:rPr>
        <w:t>you'll</w:t>
      </w:r>
      <w:proofErr w:type="gramEnd"/>
      <w:r w:rsidRPr="008B62E3">
        <w:rPr>
          <w:rFonts w:ascii="Times New Roman" w:eastAsia="Times New Roman" w:hAnsi="Times New Roman" w:cs="Times New Roman"/>
          <w:bCs/>
          <w:i/>
          <w:kern w:val="36"/>
          <w:sz w:val="24"/>
          <w:szCs w:val="24"/>
        </w:rPr>
        <w:t xml:space="preserve"> ever need</w:t>
      </w:r>
      <w:r w:rsidRPr="008B62E3">
        <w:rPr>
          <w:rFonts w:ascii="Times New Roman" w:eastAsia="Times New Roman" w:hAnsi="Times New Roman" w:cs="Times New Roman"/>
          <w:bCs/>
          <w:kern w:val="36"/>
          <w:sz w:val="24"/>
          <w:szCs w:val="24"/>
        </w:rPr>
        <w:t xml:space="preserve"> (8</w:t>
      </w:r>
      <w:r w:rsidRPr="008B62E3">
        <w:rPr>
          <w:rFonts w:ascii="Times New Roman" w:eastAsia="Times New Roman" w:hAnsi="Times New Roman" w:cs="Times New Roman"/>
          <w:bCs/>
          <w:kern w:val="36"/>
          <w:sz w:val="24"/>
          <w:szCs w:val="24"/>
          <w:vertAlign w:val="superscript"/>
        </w:rPr>
        <w:t>th</w:t>
      </w:r>
      <w:r w:rsidRPr="008B62E3">
        <w:rPr>
          <w:rFonts w:ascii="Times New Roman" w:eastAsia="Times New Roman" w:hAnsi="Times New Roman" w:cs="Times New Roman"/>
          <w:bCs/>
          <w:kern w:val="36"/>
          <w:sz w:val="24"/>
          <w:szCs w:val="24"/>
        </w:rPr>
        <w:t xml:space="preserve"> ed.). Philadelphia, PA: Wolters Kluwer Health.</w:t>
      </w:r>
    </w:p>
    <w:p w:rsidR="008B62E3" w:rsidRPr="008B62E3" w:rsidRDefault="008B62E3" w:rsidP="008B62E3">
      <w:pPr>
        <w:widowControl w:val="0"/>
        <w:autoSpaceDE w:val="0"/>
        <w:autoSpaceDN w:val="0"/>
        <w:adjustRightInd w:val="0"/>
        <w:spacing w:after="380"/>
        <w:ind w:left="720" w:hanging="720"/>
        <w:contextualSpacing/>
        <w:rPr>
          <w:rFonts w:ascii="Times New Roman" w:eastAsia="Times New Roman" w:hAnsi="Times New Roman" w:cs="Times New Roman"/>
          <w:bCs/>
          <w:kern w:val="3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I.</w:t>
      </w:r>
      <w:r w:rsidRPr="008B62E3">
        <w:rPr>
          <w:rFonts w:ascii="Times New Roman" w:eastAsia="MS Mincho" w:hAnsi="Times New Roman" w:cs="Times New Roman"/>
          <w:color w:val="262626"/>
          <w:sz w:val="24"/>
          <w:szCs w:val="24"/>
        </w:rPr>
        <w:t xml:space="preserve">          </w:t>
      </w:r>
      <w:r w:rsidRPr="008B62E3">
        <w:rPr>
          <w:rFonts w:ascii="Times New Roman" w:eastAsia="MS Mincho" w:hAnsi="Times New Roman" w:cs="Times New Roman"/>
          <w:b/>
          <w:bCs/>
          <w:color w:val="262626"/>
          <w:sz w:val="24"/>
          <w:szCs w:val="24"/>
        </w:rPr>
        <w:t>RECOMMENDED TEXT:</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J.         COURSE FORMAT:</w:t>
      </w:r>
    </w:p>
    <w:p w:rsidR="008B62E3" w:rsidRPr="008B62E3" w:rsidRDefault="008B62E3" w:rsidP="008B62E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8B62E3" w:rsidRPr="008B62E3" w:rsidRDefault="008B62E3" w:rsidP="008B62E3">
      <w:pPr>
        <w:widowControl w:val="0"/>
        <w:numPr>
          <w:ilvl w:val="0"/>
          <w:numId w:val="5"/>
        </w:numPr>
        <w:autoSpaceDE w:val="0"/>
        <w:autoSpaceDN w:val="0"/>
        <w:adjustRightInd w:val="0"/>
        <w:spacing w:after="380"/>
        <w:ind w:hanging="450"/>
        <w:contextualSpacing/>
        <w:rPr>
          <w:rFonts w:ascii="Times New Roman" w:eastAsia="MS Mincho" w:hAnsi="Times New Roman" w:cs="Times New Roman"/>
          <w:b/>
          <w:color w:val="262626"/>
          <w:sz w:val="24"/>
          <w:szCs w:val="24"/>
        </w:rPr>
      </w:pPr>
      <w:r w:rsidRPr="008B62E3">
        <w:rPr>
          <w:rFonts w:ascii="Times New Roman" w:eastAsia="MS Mincho" w:hAnsi="Times New Roman" w:cs="Times New Roman"/>
          <w:b/>
          <w:color w:val="262626"/>
          <w:sz w:val="24"/>
          <w:szCs w:val="24"/>
        </w:rPr>
        <w:t>Dermatological/ Nail Interventions</w:t>
      </w:r>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Local anesthetics</w:t>
      </w:r>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Skin Issues</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Skin tags</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Subungual hematoma</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proofErr w:type="spellStart"/>
      <w:r w:rsidRPr="008B62E3">
        <w:rPr>
          <w:rFonts w:ascii="Times New Roman" w:eastAsia="MS Mincho" w:hAnsi="Times New Roman" w:cs="Times New Roman"/>
          <w:iCs/>
          <w:color w:val="262626"/>
          <w:sz w:val="24"/>
          <w:szCs w:val="24"/>
        </w:rPr>
        <w:t>Parnoychia</w:t>
      </w:r>
      <w:proofErr w:type="spellEnd"/>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Splinter, Ring, Fish Hook removal</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Incision and drainage of abscesses</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Ingrown toenail resection</w:t>
      </w:r>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Wound Care</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Wound cleansing and dressing materials</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Wound Debridement</w:t>
      </w:r>
    </w:p>
    <w:p w:rsidR="008B62E3" w:rsidRPr="008B62E3" w:rsidRDefault="008B62E3" w:rsidP="008B62E3">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Suture closure techniques</w:t>
      </w:r>
    </w:p>
    <w:p w:rsidR="008B62E3" w:rsidRPr="008B62E3" w:rsidRDefault="008B62E3" w:rsidP="008B62E3">
      <w:pPr>
        <w:widowControl w:val="0"/>
        <w:numPr>
          <w:ilvl w:val="0"/>
          <w:numId w:val="5"/>
        </w:numPr>
        <w:autoSpaceDE w:val="0"/>
        <w:autoSpaceDN w:val="0"/>
        <w:adjustRightInd w:val="0"/>
        <w:spacing w:after="380"/>
        <w:contextualSpacing/>
        <w:rPr>
          <w:rFonts w:ascii="Times New Roman" w:eastAsia="MS Mincho" w:hAnsi="Times New Roman" w:cs="Times New Roman"/>
          <w:b/>
          <w:iCs/>
          <w:color w:val="262626"/>
          <w:sz w:val="24"/>
          <w:szCs w:val="24"/>
        </w:rPr>
      </w:pPr>
      <w:r w:rsidRPr="008B62E3">
        <w:rPr>
          <w:rFonts w:ascii="Times New Roman" w:eastAsia="MS Mincho" w:hAnsi="Times New Roman" w:cs="Times New Roman"/>
          <w:b/>
          <w:iCs/>
          <w:color w:val="262626"/>
          <w:sz w:val="24"/>
          <w:szCs w:val="24"/>
        </w:rPr>
        <w:t>Eyes Ears Nose and Throat</w:t>
      </w:r>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Removal of foreign bodies in the eye</w:t>
      </w:r>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 xml:space="preserve">Removal of cerumen impaction </w:t>
      </w:r>
    </w:p>
    <w:p w:rsidR="008B62E3" w:rsidRPr="008B62E3" w:rsidRDefault="008B62E3" w:rsidP="008B62E3">
      <w:pPr>
        <w:widowControl w:val="0"/>
        <w:numPr>
          <w:ilvl w:val="0"/>
          <w:numId w:val="5"/>
        </w:numPr>
        <w:autoSpaceDE w:val="0"/>
        <w:autoSpaceDN w:val="0"/>
        <w:adjustRightInd w:val="0"/>
        <w:spacing w:after="380"/>
        <w:contextualSpacing/>
        <w:rPr>
          <w:rFonts w:ascii="Times New Roman" w:eastAsia="MS Mincho" w:hAnsi="Times New Roman" w:cs="Times New Roman"/>
          <w:b/>
          <w:iCs/>
          <w:color w:val="262626"/>
          <w:sz w:val="24"/>
          <w:szCs w:val="24"/>
        </w:rPr>
      </w:pPr>
      <w:r w:rsidRPr="008B62E3">
        <w:rPr>
          <w:rFonts w:ascii="Times New Roman" w:eastAsia="MS Mincho" w:hAnsi="Times New Roman" w:cs="Times New Roman"/>
          <w:b/>
          <w:iCs/>
          <w:color w:val="262626"/>
          <w:sz w:val="24"/>
          <w:szCs w:val="24"/>
        </w:rPr>
        <w:t>Principles and interpretation of 12 Lead ECG</w:t>
      </w:r>
    </w:p>
    <w:p w:rsidR="008B62E3" w:rsidRPr="008B62E3" w:rsidRDefault="008B62E3" w:rsidP="008B62E3">
      <w:pPr>
        <w:widowControl w:val="0"/>
        <w:autoSpaceDE w:val="0"/>
        <w:autoSpaceDN w:val="0"/>
        <w:adjustRightInd w:val="0"/>
        <w:spacing w:after="380"/>
        <w:ind w:left="1800"/>
        <w:contextualSpacing/>
        <w:rPr>
          <w:rFonts w:ascii="Times New Roman" w:eastAsia="MS Mincho" w:hAnsi="Times New Roman" w:cs="Times New Roman"/>
          <w:iCs/>
          <w:color w:val="262626"/>
          <w:sz w:val="24"/>
          <w:szCs w:val="24"/>
        </w:rPr>
      </w:pPr>
    </w:p>
    <w:p w:rsidR="008B62E3" w:rsidRPr="008B62E3" w:rsidRDefault="008B62E3" w:rsidP="008B62E3">
      <w:pPr>
        <w:widowControl w:val="0"/>
        <w:numPr>
          <w:ilvl w:val="0"/>
          <w:numId w:val="5"/>
        </w:numPr>
        <w:autoSpaceDE w:val="0"/>
        <w:autoSpaceDN w:val="0"/>
        <w:adjustRightInd w:val="0"/>
        <w:spacing w:after="380"/>
        <w:contextualSpacing/>
        <w:rPr>
          <w:rFonts w:ascii="Times New Roman" w:eastAsia="MS Mincho" w:hAnsi="Times New Roman" w:cs="Times New Roman"/>
          <w:b/>
          <w:iCs/>
          <w:color w:val="262626"/>
          <w:sz w:val="24"/>
          <w:szCs w:val="24"/>
        </w:rPr>
      </w:pPr>
      <w:proofErr w:type="spellStart"/>
      <w:r w:rsidRPr="008B62E3">
        <w:rPr>
          <w:rFonts w:ascii="Times New Roman" w:eastAsia="MS Mincho" w:hAnsi="Times New Roman" w:cs="Times New Roman"/>
          <w:b/>
          <w:iCs/>
          <w:color w:val="262626"/>
          <w:sz w:val="24"/>
          <w:szCs w:val="24"/>
        </w:rPr>
        <w:t>Xray</w:t>
      </w:r>
      <w:proofErr w:type="spellEnd"/>
      <w:r w:rsidRPr="008B62E3">
        <w:rPr>
          <w:rFonts w:ascii="Times New Roman" w:eastAsia="MS Mincho" w:hAnsi="Times New Roman" w:cs="Times New Roman"/>
          <w:b/>
          <w:iCs/>
          <w:color w:val="262626"/>
          <w:sz w:val="24"/>
          <w:szCs w:val="24"/>
        </w:rPr>
        <w:t xml:space="preserve"> principles and interpretation</w:t>
      </w:r>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 xml:space="preserve">Chest </w:t>
      </w:r>
      <w:proofErr w:type="spellStart"/>
      <w:r w:rsidRPr="008B62E3">
        <w:rPr>
          <w:rFonts w:ascii="Times New Roman" w:eastAsia="MS Mincho" w:hAnsi="Times New Roman" w:cs="Times New Roman"/>
          <w:iCs/>
          <w:color w:val="262626"/>
          <w:sz w:val="24"/>
          <w:szCs w:val="24"/>
        </w:rPr>
        <w:t>xray</w:t>
      </w:r>
      <w:proofErr w:type="spellEnd"/>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 xml:space="preserve">Abdominal </w:t>
      </w:r>
      <w:proofErr w:type="spellStart"/>
      <w:r w:rsidRPr="008B62E3">
        <w:rPr>
          <w:rFonts w:ascii="Times New Roman" w:eastAsia="MS Mincho" w:hAnsi="Times New Roman" w:cs="Times New Roman"/>
          <w:iCs/>
          <w:color w:val="262626"/>
          <w:sz w:val="24"/>
          <w:szCs w:val="24"/>
        </w:rPr>
        <w:t>xray</w:t>
      </w:r>
      <w:proofErr w:type="spellEnd"/>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 xml:space="preserve">Upper extremity </w:t>
      </w:r>
      <w:proofErr w:type="spellStart"/>
      <w:r w:rsidRPr="008B62E3">
        <w:rPr>
          <w:rFonts w:ascii="Times New Roman" w:eastAsia="MS Mincho" w:hAnsi="Times New Roman" w:cs="Times New Roman"/>
          <w:iCs/>
          <w:color w:val="262626"/>
          <w:sz w:val="24"/>
          <w:szCs w:val="24"/>
        </w:rPr>
        <w:t>xrays</w:t>
      </w:r>
      <w:proofErr w:type="spellEnd"/>
    </w:p>
    <w:p w:rsidR="008B62E3" w:rsidRPr="008B62E3" w:rsidRDefault="008B62E3" w:rsidP="008B62E3">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8B62E3">
        <w:rPr>
          <w:rFonts w:ascii="Times New Roman" w:eastAsia="MS Mincho" w:hAnsi="Times New Roman" w:cs="Times New Roman"/>
          <w:iCs/>
          <w:color w:val="262626"/>
          <w:sz w:val="24"/>
          <w:szCs w:val="24"/>
        </w:rPr>
        <w:t xml:space="preserve">Lower extremity </w:t>
      </w:r>
      <w:proofErr w:type="spellStart"/>
      <w:r w:rsidRPr="008B62E3">
        <w:rPr>
          <w:rFonts w:ascii="Times New Roman" w:eastAsia="MS Mincho" w:hAnsi="Times New Roman" w:cs="Times New Roman"/>
          <w:iCs/>
          <w:color w:val="262626"/>
          <w:sz w:val="24"/>
          <w:szCs w:val="24"/>
        </w:rPr>
        <w:t>xrays</w:t>
      </w:r>
      <w:proofErr w:type="spellEnd"/>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K.        PROFESSIONAL CONDUCT:</w:t>
      </w:r>
    </w:p>
    <w:p w:rsidR="008B62E3" w:rsidRPr="008B62E3" w:rsidRDefault="008B62E3" w:rsidP="008B62E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Students </w:t>
      </w:r>
      <w:proofErr w:type="gramStart"/>
      <w:r w:rsidRPr="008B62E3">
        <w:rPr>
          <w:rFonts w:ascii="Times New Roman" w:eastAsia="MS Mincho" w:hAnsi="Times New Roman" w:cs="Times New Roman"/>
          <w:color w:val="262626"/>
          <w:sz w:val="24"/>
          <w:szCs w:val="24"/>
        </w:rPr>
        <w:t>are expected</w:t>
      </w:r>
      <w:proofErr w:type="gramEnd"/>
      <w:r w:rsidRPr="008B62E3">
        <w:rPr>
          <w:rFonts w:ascii="Times New Roman" w:eastAsia="MS Mincho" w:hAnsi="Times New Roman" w:cs="Times New Roman"/>
          <w:color w:val="262626"/>
          <w:sz w:val="24"/>
          <w:szCs w:val="24"/>
        </w:rPr>
        <w:t xml:space="preserve"> to abide by the WSU student code and the Nurse Practice Act of </w:t>
      </w:r>
      <w:r w:rsidRPr="008B62E3">
        <w:rPr>
          <w:rFonts w:ascii="Times New Roman" w:eastAsia="MS Mincho" w:hAnsi="Times New Roman" w:cs="Times New Roman"/>
          <w:color w:val="262626"/>
          <w:sz w:val="24"/>
          <w:szCs w:val="24"/>
        </w:rPr>
        <w:tab/>
        <w:t>the State of Utah. Plagiarism or any other form of cheating will result in failure of the</w:t>
      </w:r>
    </w:p>
    <w:p w:rsidR="008B62E3" w:rsidRPr="008B62E3" w:rsidRDefault="008B62E3" w:rsidP="008B62E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roofErr w:type="gramStart"/>
      <w:r w:rsidRPr="008B62E3">
        <w:rPr>
          <w:rFonts w:ascii="Times New Roman" w:eastAsia="MS Mincho" w:hAnsi="Times New Roman" w:cs="Times New Roman"/>
          <w:color w:val="262626"/>
          <w:sz w:val="24"/>
          <w:szCs w:val="24"/>
        </w:rPr>
        <w:t>course</w:t>
      </w:r>
      <w:proofErr w:type="gramEnd"/>
      <w:r w:rsidRPr="008B62E3">
        <w:rPr>
          <w:rFonts w:ascii="Times New Roman" w:eastAsia="MS Mincho" w:hAnsi="Times New Roman" w:cs="Times New Roman"/>
          <w:color w:val="262626"/>
          <w:sz w:val="24"/>
          <w:szCs w:val="24"/>
        </w:rPr>
        <w:t xml:space="preserve"> and probable dismissal from the Family Nurse Practitioner program. WSU subscribes to Turnitin.com, an electronic service that verifies the originality of student work. Enrollment in this course may require you to submit some or all of your assignments to it this semester, and documents submitted to TurnItIn.com </w:t>
      </w:r>
      <w:proofErr w:type="gramStart"/>
      <w:r w:rsidRPr="008B62E3">
        <w:rPr>
          <w:rFonts w:ascii="Times New Roman" w:eastAsia="MS Mincho" w:hAnsi="Times New Roman" w:cs="Times New Roman"/>
          <w:color w:val="262626"/>
          <w:sz w:val="24"/>
          <w:szCs w:val="24"/>
        </w:rPr>
        <w:t>are retained</w:t>
      </w:r>
      <w:proofErr w:type="gramEnd"/>
      <w:r w:rsidRPr="008B62E3">
        <w:rPr>
          <w:rFonts w:ascii="Times New Roman" w:eastAsia="MS Mincho" w:hAnsi="Times New Roman" w:cs="Times New Roman"/>
          <w:color w:val="262626"/>
          <w:sz w:val="24"/>
          <w:szCs w:val="24"/>
        </w:rPr>
        <w:t xml:space="preserve"> anonymously, in their databases. Continued enrollment in this course constitutes an understanding of an agreement with this policy.</w:t>
      </w:r>
    </w:p>
    <w:p w:rsidR="008B62E3" w:rsidRPr="008B62E3" w:rsidRDefault="008B62E3" w:rsidP="008B62E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L.</w:t>
      </w:r>
      <w:r w:rsidRPr="008B62E3">
        <w:rPr>
          <w:rFonts w:ascii="Times New Roman" w:eastAsia="MS Mincho" w:hAnsi="Times New Roman" w:cs="Times New Roman"/>
          <w:color w:val="262626"/>
          <w:sz w:val="24"/>
          <w:szCs w:val="24"/>
        </w:rPr>
        <w:t xml:space="preserve">        </w:t>
      </w:r>
      <w:r w:rsidRPr="008B62E3">
        <w:rPr>
          <w:rFonts w:ascii="Times New Roman" w:eastAsia="MS Mincho" w:hAnsi="Times New Roman" w:cs="Times New Roman"/>
          <w:b/>
          <w:bCs/>
          <w:color w:val="262626"/>
          <w:sz w:val="24"/>
          <w:szCs w:val="24"/>
        </w:rPr>
        <w:t>SYLLABUS DISCLOSURE STATEMENT:</w:t>
      </w:r>
    </w:p>
    <w:p w:rsidR="008B62E3" w:rsidRPr="008B62E3" w:rsidRDefault="008B62E3" w:rsidP="008B62E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xml:space="preserve">The syllabus is the governing document for this course.  Your decision to take this course amounts to your tacit consent to the conditions of this syllabus.  The professor, as well, </w:t>
      </w:r>
      <w:proofErr w:type="gramStart"/>
      <w:r w:rsidRPr="008B62E3">
        <w:rPr>
          <w:rFonts w:ascii="Times New Roman" w:eastAsia="MS Mincho" w:hAnsi="Times New Roman" w:cs="Times New Roman"/>
          <w:color w:val="262626"/>
          <w:sz w:val="24"/>
          <w:szCs w:val="24"/>
        </w:rPr>
        <w:t>is bound</w:t>
      </w:r>
      <w:proofErr w:type="gramEnd"/>
      <w:r w:rsidRPr="008B62E3">
        <w:rPr>
          <w:rFonts w:ascii="Times New Roman" w:eastAsia="MS Mincho" w:hAnsi="Times New Roman" w:cs="Times New Roman"/>
          <w:color w:val="262626"/>
          <w:sz w:val="24"/>
          <w:szCs w:val="24"/>
        </w:rPr>
        <w:t xml:space="preserve"> by the terms of this syllabus and may not make any significant changes, unless the class as a whole approves them.</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color w:val="262626"/>
          <w:sz w:val="24"/>
          <w:szCs w:val="24"/>
        </w:rPr>
        <w:t> </w:t>
      </w:r>
    </w:p>
    <w:p w:rsidR="008B62E3" w:rsidRPr="008B62E3" w:rsidRDefault="008B62E3" w:rsidP="008B62E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B62E3">
        <w:rPr>
          <w:rFonts w:ascii="Times New Roman" w:eastAsia="MS Mincho" w:hAnsi="Times New Roman" w:cs="Times New Roman"/>
          <w:b/>
          <w:bCs/>
          <w:color w:val="262626"/>
          <w:sz w:val="24"/>
          <w:szCs w:val="24"/>
        </w:rPr>
        <w:t>M.</w:t>
      </w:r>
      <w:r w:rsidRPr="008B62E3">
        <w:rPr>
          <w:rFonts w:ascii="Times New Roman" w:eastAsia="MS Mincho" w:hAnsi="Times New Roman" w:cs="Times New Roman"/>
          <w:color w:val="262626"/>
          <w:sz w:val="24"/>
          <w:szCs w:val="24"/>
        </w:rPr>
        <w:t xml:space="preserve">       </w:t>
      </w:r>
      <w:r w:rsidRPr="008B62E3">
        <w:rPr>
          <w:rFonts w:ascii="Times New Roman" w:eastAsia="MS Mincho" w:hAnsi="Times New Roman" w:cs="Times New Roman"/>
          <w:b/>
          <w:bCs/>
          <w:color w:val="262626"/>
          <w:sz w:val="24"/>
          <w:szCs w:val="24"/>
        </w:rPr>
        <w:t>SERVICES FOR STUDENTS WITH DISABILITIES:</w:t>
      </w:r>
    </w:p>
    <w:p w:rsidR="008B62E3" w:rsidRPr="008B62E3" w:rsidRDefault="008B62E3" w:rsidP="008B62E3">
      <w:pPr>
        <w:ind w:left="720"/>
        <w:contextualSpacing/>
        <w:rPr>
          <w:rFonts w:ascii="Times New Roman" w:eastAsia="MS Mincho" w:hAnsi="Times New Roman" w:cs="Times New Roman"/>
          <w:sz w:val="24"/>
          <w:szCs w:val="24"/>
        </w:rPr>
      </w:pPr>
      <w:r w:rsidRPr="008B62E3">
        <w:rPr>
          <w:rFonts w:ascii="Times New Roman" w:eastAsia="MS Mincho" w:hAnsi="Times New Roman" w:cs="Times New Roman"/>
          <w:color w:val="262626"/>
          <w:sz w:val="24"/>
          <w:szCs w:val="24"/>
        </w:rPr>
        <w:t xml:space="preserve">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w:t>
      </w:r>
      <w:proofErr w:type="gramStart"/>
      <w:r w:rsidRPr="008B62E3">
        <w:rPr>
          <w:rFonts w:ascii="Times New Roman" w:eastAsia="MS Mincho" w:hAnsi="Times New Roman" w:cs="Times New Roman"/>
          <w:color w:val="262626"/>
          <w:sz w:val="24"/>
          <w:szCs w:val="24"/>
        </w:rPr>
        <w:t>should be referred</w:t>
      </w:r>
      <w:proofErr w:type="gramEnd"/>
      <w:r w:rsidRPr="008B62E3">
        <w:rPr>
          <w:rFonts w:ascii="Times New Roman" w:eastAsia="MS Mincho" w:hAnsi="Times New Roman" w:cs="Times New Roman"/>
          <w:color w:val="262626"/>
          <w:sz w:val="24"/>
          <w:szCs w:val="24"/>
        </w:rPr>
        <w:t xml:space="preserve"> to SSD so that disability documentation can be acquired and appropriate accommodations arranged.  Please phone: 801-626-6413.</w:t>
      </w:r>
    </w:p>
    <w:p w:rsidR="00677E64" w:rsidRDefault="00677E64" w:rsidP="001C0C8D">
      <w:bookmarkStart w:id="0" w:name="_GoBack"/>
      <w:bookmarkEnd w:id="0"/>
    </w:p>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A5C63EA"/>
    <w:lvl w:ilvl="0" w:tplc="03448322">
      <w:start w:val="1"/>
      <w:numFmt w:val="decimal"/>
      <w:lvlText w:val="%1."/>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6A9A0174"/>
    <w:lvl w:ilvl="0" w:tplc="7C6823D0">
      <w:start w:val="1"/>
      <w:numFmt w:val="bullet"/>
      <w:lvlText w:val="•"/>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3E0EFA20"/>
    <w:lvl w:ilvl="0" w:tplc="027C87E8">
      <w:start w:val="1"/>
      <w:numFmt w:val="bullet"/>
      <w:lvlText w:val="•"/>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42600BD4"/>
    <w:multiLevelType w:val="hybridMultilevel"/>
    <w:tmpl w:val="8190097A"/>
    <w:lvl w:ilvl="0" w:tplc="B5A066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2C5989"/>
    <w:multiLevelType w:val="hybridMultilevel"/>
    <w:tmpl w:val="6BE0DB4E"/>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8D"/>
    <w:rsid w:val="001C0C8D"/>
    <w:rsid w:val="00677E64"/>
    <w:rsid w:val="008B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34B48-DBD3-49FF-94B3-8B21DD8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kculliton</cp:lastModifiedBy>
  <cp:revision>2</cp:revision>
  <dcterms:created xsi:type="dcterms:W3CDTF">2015-03-17T21:50:00Z</dcterms:created>
  <dcterms:modified xsi:type="dcterms:W3CDTF">2015-03-18T16:39:00Z</dcterms:modified>
</cp:coreProperties>
</file>