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7B" w:rsidRPr="00EE506E" w:rsidRDefault="0073777B" w:rsidP="0073777B">
      <w:pPr>
        <w:rPr>
          <w:b/>
        </w:rPr>
      </w:pPr>
      <w:bookmarkStart w:id="0" w:name="_GoBack"/>
      <w:bookmarkEnd w:id="0"/>
    </w:p>
    <w:p w:rsidR="0073777B" w:rsidRPr="00EE506E" w:rsidRDefault="0073777B" w:rsidP="0073777B">
      <w:pPr>
        <w:jc w:val="center"/>
        <w:rPr>
          <w:b/>
        </w:rPr>
      </w:pPr>
      <w:r w:rsidRPr="00EE506E">
        <w:rPr>
          <w:b/>
        </w:rPr>
        <w:t>Cover/Signature Page - Abbreviated Template/Abbreviated Template with Curriculum</w:t>
      </w:r>
    </w:p>
    <w:p w:rsidR="0073777B" w:rsidRPr="00EE506E" w:rsidRDefault="0073777B" w:rsidP="0073777B">
      <w:pPr>
        <w:rPr>
          <w:sz w:val="20"/>
          <w:szCs w:val="20"/>
        </w:rPr>
      </w:pPr>
    </w:p>
    <w:p w:rsidR="0073777B" w:rsidRPr="00EE506E" w:rsidRDefault="0073777B" w:rsidP="0073777B">
      <w:pPr>
        <w:rPr>
          <w:i/>
          <w:szCs w:val="22"/>
        </w:rPr>
      </w:pPr>
      <w:r w:rsidRPr="00EE506E">
        <w:rPr>
          <w:b/>
          <w:szCs w:val="22"/>
        </w:rPr>
        <w:t>Institution Submitting Request:</w:t>
      </w:r>
      <w:r w:rsidRPr="00EE506E">
        <w:rPr>
          <w:szCs w:val="22"/>
        </w:rPr>
        <w:t xml:space="preserve"> </w:t>
      </w:r>
      <w:r w:rsidRPr="00EE506E">
        <w:rPr>
          <w:i/>
          <w:szCs w:val="22"/>
        </w:rPr>
        <w:t xml:space="preserve">Weber State University </w:t>
      </w:r>
    </w:p>
    <w:p w:rsidR="0073777B" w:rsidRPr="00EE506E" w:rsidRDefault="0073777B" w:rsidP="0073777B">
      <w:pPr>
        <w:rPr>
          <w:szCs w:val="22"/>
        </w:rPr>
      </w:pPr>
      <w:r w:rsidRPr="00EE506E">
        <w:rPr>
          <w:b/>
          <w:szCs w:val="22"/>
        </w:rPr>
        <w:t>Proposed Title:</w:t>
      </w:r>
      <w:r w:rsidRPr="00EE506E">
        <w:rPr>
          <w:szCs w:val="22"/>
        </w:rPr>
        <w:t xml:space="preserve"> </w:t>
      </w:r>
      <w:r>
        <w:rPr>
          <w:i/>
          <w:szCs w:val="22"/>
        </w:rPr>
        <w:t>LGBT Resource Center</w:t>
      </w:r>
      <w:r w:rsidRPr="00EE506E">
        <w:rPr>
          <w:i/>
          <w:szCs w:val="22"/>
        </w:rPr>
        <w:t xml:space="preserve"> </w:t>
      </w:r>
    </w:p>
    <w:p w:rsidR="0073777B" w:rsidRPr="00EE506E" w:rsidRDefault="0073777B" w:rsidP="0073777B">
      <w:pPr>
        <w:rPr>
          <w:szCs w:val="22"/>
        </w:rPr>
      </w:pPr>
      <w:r w:rsidRPr="00EE506E">
        <w:rPr>
          <w:b/>
          <w:szCs w:val="22"/>
        </w:rPr>
        <w:t>Currently Approved Title:</w:t>
      </w:r>
      <w:r w:rsidRPr="00EE506E">
        <w:rPr>
          <w:szCs w:val="22"/>
        </w:rPr>
        <w:t xml:space="preserve"> </w:t>
      </w:r>
      <w:r w:rsidRPr="00EE506E">
        <w:rPr>
          <w:i/>
          <w:szCs w:val="22"/>
        </w:rPr>
        <w:t>N/A</w:t>
      </w:r>
    </w:p>
    <w:p w:rsidR="0073777B" w:rsidRPr="00EE506E" w:rsidRDefault="0073777B" w:rsidP="0073777B">
      <w:pPr>
        <w:rPr>
          <w:szCs w:val="22"/>
        </w:rPr>
      </w:pPr>
      <w:r w:rsidRPr="00EE506E">
        <w:rPr>
          <w:b/>
          <w:szCs w:val="22"/>
        </w:rPr>
        <w:t>School or Division or Location:</w:t>
      </w:r>
      <w:r w:rsidRPr="00EE506E">
        <w:rPr>
          <w:szCs w:val="22"/>
        </w:rPr>
        <w:t xml:space="preserve"> </w:t>
      </w:r>
      <w:r w:rsidRPr="00EE506E">
        <w:rPr>
          <w:i/>
          <w:szCs w:val="22"/>
        </w:rPr>
        <w:t xml:space="preserve">Ogden, UT </w:t>
      </w:r>
    </w:p>
    <w:p w:rsidR="0073777B" w:rsidRPr="00EE506E" w:rsidRDefault="0073777B" w:rsidP="0073777B">
      <w:pPr>
        <w:rPr>
          <w:szCs w:val="22"/>
        </w:rPr>
      </w:pPr>
      <w:r w:rsidRPr="00EE506E">
        <w:rPr>
          <w:b/>
          <w:szCs w:val="22"/>
        </w:rPr>
        <w:t>Department(s) or Area(s) Location:</w:t>
      </w:r>
      <w:r w:rsidRPr="00EE506E">
        <w:rPr>
          <w:szCs w:val="22"/>
        </w:rPr>
        <w:t xml:space="preserve"> </w:t>
      </w:r>
      <w:r>
        <w:rPr>
          <w:i/>
          <w:szCs w:val="22"/>
        </w:rPr>
        <w:t>Student Affairs</w:t>
      </w:r>
    </w:p>
    <w:p w:rsidR="0073777B" w:rsidRPr="00EE506E" w:rsidRDefault="0073777B" w:rsidP="0073777B">
      <w:pPr>
        <w:rPr>
          <w:i/>
          <w:szCs w:val="22"/>
        </w:rPr>
      </w:pPr>
      <w:r w:rsidRPr="00EE506E">
        <w:rPr>
          <w:b/>
          <w:szCs w:val="22"/>
        </w:rPr>
        <w:t>Recommended Classification of Instructional Programs (CIP) Code</w:t>
      </w:r>
      <w:r w:rsidRPr="00EE506E">
        <w:rPr>
          <w:rStyle w:val="FootnoteReference"/>
          <w:b/>
          <w:szCs w:val="22"/>
        </w:rPr>
        <w:footnoteReference w:id="1"/>
      </w:r>
      <w:r w:rsidRPr="00EE506E">
        <w:rPr>
          <w:b/>
          <w:szCs w:val="22"/>
        </w:rPr>
        <w:t xml:space="preserve"> (for new programs):</w:t>
      </w:r>
      <w:r w:rsidRPr="00EE506E">
        <w:rPr>
          <w:szCs w:val="22"/>
        </w:rPr>
        <w:t xml:space="preserve"> </w:t>
      </w:r>
      <w:r w:rsidRPr="00EE506E">
        <w:rPr>
          <w:i/>
          <w:szCs w:val="22"/>
        </w:rPr>
        <w:t>N/A</w:t>
      </w:r>
    </w:p>
    <w:p w:rsidR="0073777B" w:rsidRPr="00EE506E" w:rsidRDefault="0073777B" w:rsidP="0073777B">
      <w:pPr>
        <w:rPr>
          <w:i/>
          <w:szCs w:val="22"/>
        </w:rPr>
      </w:pPr>
      <w:r w:rsidRPr="00EE506E">
        <w:rPr>
          <w:b/>
          <w:szCs w:val="22"/>
        </w:rPr>
        <w:t>Current Classification of Instructional Programs (CIP) Code (for existing programs):</w:t>
      </w:r>
      <w:r w:rsidRPr="00EE506E">
        <w:rPr>
          <w:szCs w:val="22"/>
        </w:rPr>
        <w:t xml:space="preserve">  </w:t>
      </w:r>
      <w:r w:rsidRPr="00EE506E">
        <w:rPr>
          <w:i/>
          <w:szCs w:val="22"/>
        </w:rPr>
        <w:t>N/A</w:t>
      </w:r>
    </w:p>
    <w:p w:rsidR="0073777B" w:rsidRPr="00EE506E" w:rsidRDefault="0073777B" w:rsidP="0073777B">
      <w:pPr>
        <w:rPr>
          <w:szCs w:val="22"/>
        </w:rPr>
      </w:pPr>
      <w:r w:rsidRPr="00EE506E">
        <w:rPr>
          <w:b/>
          <w:szCs w:val="22"/>
        </w:rPr>
        <w:t>Proposed Beginning Date (for new programs):</w:t>
      </w:r>
      <w:r w:rsidRPr="00EE506E">
        <w:rPr>
          <w:szCs w:val="22"/>
        </w:rPr>
        <w:t xml:space="preserve"> </w:t>
      </w:r>
      <w:r w:rsidRPr="00EE506E">
        <w:rPr>
          <w:i/>
          <w:szCs w:val="22"/>
        </w:rPr>
        <w:t>0</w:t>
      </w:r>
      <w:r>
        <w:rPr>
          <w:i/>
          <w:szCs w:val="22"/>
        </w:rPr>
        <w:t>9</w:t>
      </w:r>
      <w:r w:rsidRPr="00EE506E">
        <w:rPr>
          <w:i/>
          <w:szCs w:val="22"/>
        </w:rPr>
        <w:t>/1</w:t>
      </w:r>
      <w:r>
        <w:rPr>
          <w:i/>
          <w:szCs w:val="22"/>
        </w:rPr>
        <w:t>6</w:t>
      </w:r>
      <w:r w:rsidRPr="00EE506E">
        <w:rPr>
          <w:i/>
          <w:szCs w:val="22"/>
        </w:rPr>
        <w:t>/13</w:t>
      </w:r>
    </w:p>
    <w:p w:rsidR="0073777B" w:rsidRPr="00EE506E" w:rsidRDefault="0073777B" w:rsidP="0073777B">
      <w:pPr>
        <w:rPr>
          <w:szCs w:val="22"/>
        </w:rPr>
      </w:pPr>
      <w:r w:rsidRPr="00EE506E">
        <w:rPr>
          <w:b/>
          <w:szCs w:val="22"/>
        </w:rPr>
        <w:t>Institutional Board of Trustees’ Approval Date:</w:t>
      </w:r>
      <w:r w:rsidRPr="00EE506E">
        <w:rPr>
          <w:szCs w:val="22"/>
        </w:rPr>
        <w:t xml:space="preserve"> </w:t>
      </w:r>
      <w:r w:rsidRPr="00EE506E">
        <w:rPr>
          <w:i/>
          <w:szCs w:val="22"/>
        </w:rPr>
        <w:t>MM/DD/YEAR</w:t>
      </w:r>
    </w:p>
    <w:p w:rsidR="0073777B" w:rsidRPr="00EE506E" w:rsidRDefault="0073777B" w:rsidP="0073777B">
      <w:pPr>
        <w:rPr>
          <w:sz w:val="20"/>
          <w:szCs w:val="20"/>
        </w:rPr>
      </w:pPr>
    </w:p>
    <w:p w:rsidR="0073777B" w:rsidRPr="00EE506E" w:rsidRDefault="0073777B" w:rsidP="0073777B">
      <w:pPr>
        <w:rPr>
          <w:b/>
          <w:szCs w:val="22"/>
        </w:rPr>
      </w:pPr>
      <w:r w:rsidRPr="00EE506E">
        <w:rPr>
          <w:b/>
          <w:szCs w:val="22"/>
        </w:rPr>
        <w:t xml:space="preserve">Proposal Type (check all that apply): </w:t>
      </w:r>
    </w:p>
    <w:p w:rsidR="0073777B" w:rsidRPr="00EE506E" w:rsidRDefault="0073777B" w:rsidP="0073777B">
      <w:pPr>
        <w:rPr>
          <w:b/>
          <w:szCs w:val="22"/>
        </w:rPr>
      </w:pPr>
    </w:p>
    <w:tbl>
      <w:tblPr>
        <w:tblStyle w:val="TableGrid"/>
        <w:tblW w:w="3608" w:type="pct"/>
        <w:jc w:val="center"/>
        <w:tblInd w:w="2808" w:type="dxa"/>
        <w:tblLook w:val="04A0" w:firstRow="1" w:lastRow="0" w:firstColumn="1" w:lastColumn="0" w:noHBand="0" w:noVBand="1"/>
      </w:tblPr>
      <w:tblGrid>
        <w:gridCol w:w="1026"/>
        <w:gridCol w:w="449"/>
        <w:gridCol w:w="5435"/>
      </w:tblGrid>
      <w:tr w:rsidR="0073777B" w:rsidRPr="00EE506E" w:rsidTr="009E38CF">
        <w:trPr>
          <w:jc w:val="center"/>
        </w:trPr>
        <w:tc>
          <w:tcPr>
            <w:tcW w:w="5000" w:type="pct"/>
            <w:gridSpan w:val="3"/>
            <w:shd w:val="clear" w:color="auto" w:fill="4F81BD" w:themeFill="accent1"/>
            <w:vAlign w:val="center"/>
          </w:tcPr>
          <w:p w:rsidR="0073777B" w:rsidRPr="00EE506E" w:rsidRDefault="0073777B" w:rsidP="009E38CF">
            <w:pPr>
              <w:jc w:val="center"/>
              <w:rPr>
                <w:b/>
                <w:szCs w:val="20"/>
              </w:rPr>
            </w:pPr>
            <w:r w:rsidRPr="00EE506E">
              <w:rPr>
                <w:b/>
                <w:szCs w:val="20"/>
              </w:rPr>
              <w:t>Regents’ General Consent Calendar Items</w:t>
            </w:r>
          </w:p>
        </w:tc>
      </w:tr>
      <w:tr w:rsidR="0073777B" w:rsidRPr="00EE506E" w:rsidTr="009E38CF">
        <w:trPr>
          <w:jc w:val="center"/>
        </w:trPr>
        <w:tc>
          <w:tcPr>
            <w:tcW w:w="5000" w:type="pct"/>
            <w:gridSpan w:val="3"/>
            <w:shd w:val="clear" w:color="auto" w:fill="B8CCE4" w:themeFill="accent1" w:themeFillTint="66"/>
            <w:vAlign w:val="center"/>
          </w:tcPr>
          <w:p w:rsidR="0073777B" w:rsidRPr="00EE506E" w:rsidRDefault="0073777B" w:rsidP="009E38CF">
            <w:pPr>
              <w:rPr>
                <w:i/>
                <w:sz w:val="16"/>
                <w:szCs w:val="16"/>
              </w:rPr>
            </w:pPr>
            <w:r w:rsidRPr="00EE506E">
              <w:rPr>
                <w:i/>
                <w:sz w:val="16"/>
                <w:szCs w:val="16"/>
              </w:rPr>
              <w:t>R401-5 OCHE Review and Recommendation; Approval on General Consent Calendar</w:t>
            </w:r>
          </w:p>
        </w:tc>
      </w:tr>
      <w:tr w:rsidR="0073777B" w:rsidRPr="00EE506E" w:rsidTr="009E38CF">
        <w:trPr>
          <w:jc w:val="center"/>
        </w:trPr>
        <w:tc>
          <w:tcPr>
            <w:tcW w:w="1067" w:type="pct"/>
            <w:gridSpan w:val="2"/>
            <w:shd w:val="clear" w:color="auto" w:fill="4F81BD" w:themeFill="accent1"/>
            <w:vAlign w:val="center"/>
          </w:tcPr>
          <w:p w:rsidR="0073777B" w:rsidRPr="00EE506E" w:rsidRDefault="0073777B" w:rsidP="009E38CF">
            <w:pPr>
              <w:jc w:val="center"/>
              <w:rPr>
                <w:b/>
                <w:szCs w:val="20"/>
              </w:rPr>
            </w:pPr>
            <w:r w:rsidRPr="00EE506E">
              <w:rPr>
                <w:b/>
                <w:szCs w:val="20"/>
              </w:rPr>
              <w:t>SECTION NO.</w:t>
            </w:r>
          </w:p>
        </w:tc>
        <w:tc>
          <w:tcPr>
            <w:tcW w:w="3933" w:type="pct"/>
            <w:shd w:val="clear" w:color="auto" w:fill="4F81BD" w:themeFill="accent1"/>
            <w:vAlign w:val="center"/>
          </w:tcPr>
          <w:p w:rsidR="0073777B" w:rsidRPr="00EE506E" w:rsidRDefault="0073777B" w:rsidP="009E38CF">
            <w:pPr>
              <w:jc w:val="center"/>
              <w:rPr>
                <w:b/>
                <w:szCs w:val="20"/>
              </w:rPr>
            </w:pPr>
            <w:r w:rsidRPr="00EE506E">
              <w:rPr>
                <w:b/>
                <w:szCs w:val="20"/>
              </w:rPr>
              <w:t>ITEM</w:t>
            </w:r>
          </w:p>
        </w:tc>
      </w:tr>
      <w:tr w:rsidR="0073777B" w:rsidRPr="00EE506E" w:rsidTr="009E38CF">
        <w:trPr>
          <w:jc w:val="center"/>
        </w:trPr>
        <w:tc>
          <w:tcPr>
            <w:tcW w:w="742" w:type="pct"/>
            <w:tcBorders>
              <w:bottom w:val="single" w:sz="4" w:space="0" w:color="auto"/>
              <w:right w:val="nil"/>
            </w:tcBorders>
            <w:vAlign w:val="center"/>
          </w:tcPr>
          <w:p w:rsidR="0073777B" w:rsidRPr="00EE506E" w:rsidRDefault="0073777B" w:rsidP="009E38CF">
            <w:pPr>
              <w:jc w:val="center"/>
              <w:rPr>
                <w:b/>
                <w:szCs w:val="20"/>
              </w:rPr>
            </w:pPr>
            <w:r w:rsidRPr="00EE506E">
              <w:rPr>
                <w:b/>
                <w:szCs w:val="20"/>
              </w:rPr>
              <w:t>5.1.1</w:t>
            </w:r>
          </w:p>
        </w:tc>
        <w:tc>
          <w:tcPr>
            <w:tcW w:w="325" w:type="pct"/>
            <w:tcBorders>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Minor*</w:t>
            </w:r>
          </w:p>
        </w:tc>
      </w:tr>
      <w:tr w:rsidR="0073777B" w:rsidRPr="00EE506E" w:rsidTr="009E38CF">
        <w:trPr>
          <w:jc w:val="center"/>
        </w:trPr>
        <w:tc>
          <w:tcPr>
            <w:tcW w:w="742" w:type="pct"/>
            <w:tcBorders>
              <w:bottom w:val="single" w:sz="4" w:space="0" w:color="auto"/>
              <w:right w:val="nil"/>
            </w:tcBorders>
            <w:vAlign w:val="center"/>
          </w:tcPr>
          <w:p w:rsidR="0073777B" w:rsidRPr="00EE506E" w:rsidRDefault="0073777B" w:rsidP="009E38CF">
            <w:pPr>
              <w:jc w:val="center"/>
              <w:rPr>
                <w:b/>
                <w:szCs w:val="20"/>
              </w:rPr>
            </w:pPr>
            <w:r w:rsidRPr="00EE506E">
              <w:rPr>
                <w:b/>
                <w:szCs w:val="20"/>
              </w:rPr>
              <w:t>5.1.2</w:t>
            </w:r>
          </w:p>
        </w:tc>
        <w:tc>
          <w:tcPr>
            <w:tcW w:w="325" w:type="pct"/>
            <w:tcBorders>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Emphasis*</w:t>
            </w:r>
          </w:p>
        </w:tc>
      </w:tr>
      <w:tr w:rsidR="0073777B" w:rsidRPr="00EE506E" w:rsidTr="009E38CF">
        <w:trPr>
          <w:jc w:val="center"/>
        </w:trPr>
        <w:tc>
          <w:tcPr>
            <w:tcW w:w="742" w:type="pct"/>
            <w:tcBorders>
              <w:bottom w:val="single" w:sz="4" w:space="0" w:color="auto"/>
              <w:right w:val="nil"/>
            </w:tcBorders>
            <w:vAlign w:val="center"/>
          </w:tcPr>
          <w:p w:rsidR="0073777B" w:rsidRPr="00EE506E" w:rsidRDefault="0073777B" w:rsidP="009E38CF">
            <w:pPr>
              <w:jc w:val="center"/>
              <w:rPr>
                <w:b/>
                <w:szCs w:val="20"/>
              </w:rPr>
            </w:pPr>
            <w:r w:rsidRPr="00EE506E">
              <w:rPr>
                <w:b/>
                <w:szCs w:val="20"/>
              </w:rPr>
              <w:t>5.2.1</w:t>
            </w:r>
          </w:p>
        </w:tc>
        <w:tc>
          <w:tcPr>
            <w:tcW w:w="325" w:type="pct"/>
            <w:tcBorders>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 xml:space="preserve">Certificate of Proficiency* </w:t>
            </w:r>
          </w:p>
        </w:tc>
      </w:tr>
      <w:tr w:rsidR="0073777B" w:rsidRPr="00EE506E" w:rsidTr="009E38CF">
        <w:trPr>
          <w:jc w:val="center"/>
        </w:trPr>
        <w:tc>
          <w:tcPr>
            <w:tcW w:w="742" w:type="pct"/>
            <w:tcBorders>
              <w:bottom w:val="single" w:sz="4" w:space="0" w:color="auto"/>
              <w:right w:val="nil"/>
            </w:tcBorders>
            <w:vAlign w:val="center"/>
          </w:tcPr>
          <w:p w:rsidR="0073777B" w:rsidRPr="00EE506E" w:rsidRDefault="0073777B" w:rsidP="009E38CF">
            <w:pPr>
              <w:jc w:val="center"/>
              <w:rPr>
                <w:b/>
                <w:szCs w:val="20"/>
              </w:rPr>
            </w:pPr>
            <w:r w:rsidRPr="00EE506E">
              <w:rPr>
                <w:b/>
                <w:szCs w:val="20"/>
              </w:rPr>
              <w:t>5.2.3</w:t>
            </w:r>
          </w:p>
        </w:tc>
        <w:tc>
          <w:tcPr>
            <w:tcW w:w="325" w:type="pct"/>
            <w:tcBorders>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Graduate Certificate*</w:t>
            </w:r>
          </w:p>
        </w:tc>
      </w:tr>
      <w:tr w:rsidR="0073777B" w:rsidRPr="00EE506E" w:rsidTr="009E38CF">
        <w:trPr>
          <w:jc w:val="center"/>
        </w:trPr>
        <w:tc>
          <w:tcPr>
            <w:tcW w:w="742" w:type="pct"/>
            <w:vMerge w:val="restart"/>
            <w:tcBorders>
              <w:right w:val="nil"/>
            </w:tcBorders>
            <w:vAlign w:val="center"/>
          </w:tcPr>
          <w:p w:rsidR="0073777B" w:rsidRPr="00EE506E" w:rsidRDefault="0073777B" w:rsidP="009E38CF">
            <w:pPr>
              <w:jc w:val="center"/>
              <w:rPr>
                <w:b/>
                <w:szCs w:val="20"/>
              </w:rPr>
            </w:pPr>
            <w:r w:rsidRPr="00EE506E">
              <w:rPr>
                <w:b/>
                <w:szCs w:val="20"/>
              </w:rPr>
              <w:t>5.4.1</w:t>
            </w:r>
          </w:p>
        </w:tc>
        <w:tc>
          <w:tcPr>
            <w:tcW w:w="325" w:type="pct"/>
            <w:tcBorders>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New Administrative Unit</w:t>
            </w:r>
          </w:p>
        </w:tc>
      </w:tr>
      <w:tr w:rsidR="0073777B" w:rsidRPr="00EE506E" w:rsidTr="009E38CF">
        <w:trPr>
          <w:jc w:val="center"/>
        </w:trPr>
        <w:tc>
          <w:tcPr>
            <w:tcW w:w="742" w:type="pct"/>
            <w:vMerge/>
            <w:tcBorders>
              <w:right w:val="nil"/>
            </w:tcBorders>
            <w:vAlign w:val="center"/>
          </w:tcPr>
          <w:p w:rsidR="0073777B" w:rsidRPr="00EE506E" w:rsidRDefault="0073777B" w:rsidP="009E38CF">
            <w:pPr>
              <w:jc w:val="center"/>
              <w:rPr>
                <w:b/>
                <w:szCs w:val="20"/>
              </w:rPr>
            </w:pPr>
          </w:p>
        </w:tc>
        <w:tc>
          <w:tcPr>
            <w:tcW w:w="325" w:type="pct"/>
            <w:tcBorders>
              <w:top w:val="nil"/>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Administrative Unit Transfer</w:t>
            </w:r>
          </w:p>
        </w:tc>
      </w:tr>
      <w:tr w:rsidR="0073777B" w:rsidRPr="00EE506E" w:rsidTr="009E38CF">
        <w:trPr>
          <w:jc w:val="center"/>
        </w:trPr>
        <w:tc>
          <w:tcPr>
            <w:tcW w:w="742" w:type="pct"/>
            <w:vMerge/>
            <w:tcBorders>
              <w:right w:val="nil"/>
            </w:tcBorders>
            <w:vAlign w:val="center"/>
          </w:tcPr>
          <w:p w:rsidR="0073777B" w:rsidRPr="00EE506E" w:rsidRDefault="0073777B" w:rsidP="009E38CF">
            <w:pPr>
              <w:jc w:val="center"/>
              <w:rPr>
                <w:b/>
                <w:szCs w:val="20"/>
              </w:rPr>
            </w:pPr>
          </w:p>
        </w:tc>
        <w:tc>
          <w:tcPr>
            <w:tcW w:w="325" w:type="pct"/>
            <w:tcBorders>
              <w:top w:val="nil"/>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Administrative Unit Restructure</w:t>
            </w:r>
          </w:p>
        </w:tc>
      </w:tr>
      <w:tr w:rsidR="0073777B" w:rsidRPr="00EE506E" w:rsidTr="009E38CF">
        <w:trPr>
          <w:jc w:val="center"/>
        </w:trPr>
        <w:tc>
          <w:tcPr>
            <w:tcW w:w="742" w:type="pct"/>
            <w:vMerge/>
            <w:tcBorders>
              <w:bottom w:val="single" w:sz="4" w:space="0" w:color="auto"/>
              <w:right w:val="nil"/>
            </w:tcBorders>
            <w:vAlign w:val="center"/>
          </w:tcPr>
          <w:p w:rsidR="0073777B" w:rsidRPr="00EE506E" w:rsidRDefault="0073777B" w:rsidP="009E38CF">
            <w:pPr>
              <w:jc w:val="center"/>
              <w:rPr>
                <w:b/>
                <w:szCs w:val="20"/>
              </w:rPr>
            </w:pPr>
          </w:p>
        </w:tc>
        <w:tc>
          <w:tcPr>
            <w:tcW w:w="325" w:type="pct"/>
            <w:tcBorders>
              <w:top w:val="nil"/>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Administrative Unit Consolidation</w:t>
            </w:r>
          </w:p>
        </w:tc>
      </w:tr>
      <w:tr w:rsidR="0073777B" w:rsidRPr="00EE506E" w:rsidTr="009E38CF">
        <w:trPr>
          <w:jc w:val="center"/>
        </w:trPr>
        <w:tc>
          <w:tcPr>
            <w:tcW w:w="742" w:type="pct"/>
            <w:vMerge w:val="restart"/>
            <w:tcBorders>
              <w:right w:val="nil"/>
            </w:tcBorders>
            <w:vAlign w:val="center"/>
          </w:tcPr>
          <w:p w:rsidR="0073777B" w:rsidRPr="00EE506E" w:rsidRDefault="0073777B" w:rsidP="009E38CF">
            <w:pPr>
              <w:jc w:val="center"/>
              <w:rPr>
                <w:b/>
                <w:szCs w:val="20"/>
              </w:rPr>
            </w:pPr>
            <w:r w:rsidRPr="00EE506E">
              <w:rPr>
                <w:b/>
                <w:szCs w:val="20"/>
              </w:rPr>
              <w:t>5.4.2</w:t>
            </w:r>
          </w:p>
        </w:tc>
        <w:bookmarkStart w:id="1" w:name="Check1"/>
        <w:tc>
          <w:tcPr>
            <w:tcW w:w="325" w:type="pct"/>
            <w:tcBorders>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1"/>
                  </w:checkBox>
                </w:ffData>
              </w:fldChar>
            </w:r>
            <w:r w:rsidR="0073777B" w:rsidRPr="00EE506E">
              <w:rPr>
                <w:szCs w:val="20"/>
              </w:rPr>
              <w:instrText xml:space="preserve"> FORMCHECKBOX </w:instrText>
            </w:r>
            <w:r w:rsidRPr="00EE506E">
              <w:rPr>
                <w:szCs w:val="20"/>
              </w:rPr>
            </w:r>
            <w:r w:rsidRPr="00EE506E">
              <w:rPr>
                <w:szCs w:val="20"/>
              </w:rPr>
              <w:fldChar w:fldCharType="end"/>
            </w:r>
            <w:bookmarkEnd w:id="1"/>
          </w:p>
        </w:tc>
        <w:tc>
          <w:tcPr>
            <w:tcW w:w="3933" w:type="pct"/>
            <w:vAlign w:val="center"/>
          </w:tcPr>
          <w:p w:rsidR="0073777B" w:rsidRPr="00EE506E" w:rsidRDefault="0073777B" w:rsidP="009E38CF">
            <w:pPr>
              <w:rPr>
                <w:szCs w:val="20"/>
              </w:rPr>
            </w:pPr>
            <w:r w:rsidRPr="00EE506E">
              <w:rPr>
                <w:szCs w:val="20"/>
              </w:rPr>
              <w:t>New Center</w:t>
            </w:r>
          </w:p>
        </w:tc>
      </w:tr>
      <w:tr w:rsidR="0073777B" w:rsidRPr="00EE506E" w:rsidTr="009E38CF">
        <w:trPr>
          <w:jc w:val="center"/>
        </w:trPr>
        <w:tc>
          <w:tcPr>
            <w:tcW w:w="742" w:type="pct"/>
            <w:vMerge/>
            <w:tcBorders>
              <w:right w:val="nil"/>
            </w:tcBorders>
            <w:vAlign w:val="center"/>
          </w:tcPr>
          <w:p w:rsidR="0073777B" w:rsidRPr="00EE506E" w:rsidRDefault="0073777B" w:rsidP="009E38CF">
            <w:pPr>
              <w:jc w:val="center"/>
              <w:rPr>
                <w:b/>
                <w:szCs w:val="20"/>
              </w:rPr>
            </w:pPr>
          </w:p>
        </w:tc>
        <w:tc>
          <w:tcPr>
            <w:tcW w:w="325" w:type="pct"/>
            <w:tcBorders>
              <w:top w:val="nil"/>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New Institute</w:t>
            </w:r>
          </w:p>
        </w:tc>
      </w:tr>
      <w:tr w:rsidR="0073777B" w:rsidRPr="00EE506E" w:rsidTr="009E38CF">
        <w:trPr>
          <w:jc w:val="center"/>
        </w:trPr>
        <w:tc>
          <w:tcPr>
            <w:tcW w:w="742" w:type="pct"/>
            <w:vMerge/>
            <w:tcBorders>
              <w:right w:val="nil"/>
            </w:tcBorders>
            <w:vAlign w:val="center"/>
          </w:tcPr>
          <w:p w:rsidR="0073777B" w:rsidRPr="00EE506E" w:rsidRDefault="0073777B" w:rsidP="009E38CF">
            <w:pPr>
              <w:jc w:val="center"/>
              <w:rPr>
                <w:b/>
                <w:szCs w:val="20"/>
              </w:rPr>
            </w:pPr>
          </w:p>
        </w:tc>
        <w:tc>
          <w:tcPr>
            <w:tcW w:w="325" w:type="pct"/>
            <w:tcBorders>
              <w:top w:val="nil"/>
              <w:left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New Bureau</w:t>
            </w:r>
          </w:p>
        </w:tc>
      </w:tr>
      <w:tr w:rsidR="0073777B" w:rsidRPr="00EE506E" w:rsidTr="009E38CF">
        <w:trPr>
          <w:jc w:val="center"/>
        </w:trPr>
        <w:tc>
          <w:tcPr>
            <w:tcW w:w="742" w:type="pct"/>
            <w:tcBorders>
              <w:bottom w:val="single" w:sz="4" w:space="0" w:color="auto"/>
              <w:right w:val="nil"/>
            </w:tcBorders>
            <w:vAlign w:val="center"/>
          </w:tcPr>
          <w:p w:rsidR="0073777B" w:rsidRPr="00EE506E" w:rsidRDefault="0073777B" w:rsidP="009E38CF">
            <w:pPr>
              <w:jc w:val="center"/>
              <w:rPr>
                <w:b/>
                <w:szCs w:val="20"/>
              </w:rPr>
            </w:pPr>
            <w:r w:rsidRPr="00EE506E">
              <w:rPr>
                <w:b/>
                <w:szCs w:val="20"/>
              </w:rPr>
              <w:t>5.5.1</w:t>
            </w:r>
          </w:p>
        </w:tc>
        <w:tc>
          <w:tcPr>
            <w:tcW w:w="325" w:type="pct"/>
            <w:tcBorders>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Out-of-Service Area Delivery of Programs</w:t>
            </w:r>
          </w:p>
        </w:tc>
      </w:tr>
      <w:tr w:rsidR="0073777B" w:rsidRPr="00EE506E" w:rsidTr="009E38CF">
        <w:trPr>
          <w:jc w:val="center"/>
        </w:trPr>
        <w:tc>
          <w:tcPr>
            <w:tcW w:w="742" w:type="pct"/>
            <w:vMerge w:val="restart"/>
            <w:tcBorders>
              <w:right w:val="nil"/>
            </w:tcBorders>
            <w:vAlign w:val="center"/>
          </w:tcPr>
          <w:p w:rsidR="0073777B" w:rsidRPr="00EE506E" w:rsidRDefault="0073777B" w:rsidP="009E38CF">
            <w:pPr>
              <w:jc w:val="center"/>
              <w:rPr>
                <w:b/>
                <w:szCs w:val="20"/>
              </w:rPr>
            </w:pPr>
            <w:r w:rsidRPr="00EE506E">
              <w:rPr>
                <w:b/>
                <w:szCs w:val="20"/>
              </w:rPr>
              <w:t>5.5.2</w:t>
            </w:r>
          </w:p>
        </w:tc>
        <w:tc>
          <w:tcPr>
            <w:tcW w:w="325" w:type="pct"/>
            <w:tcBorders>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Program Transfer</w:t>
            </w:r>
          </w:p>
        </w:tc>
      </w:tr>
      <w:tr w:rsidR="0073777B" w:rsidRPr="00EE506E" w:rsidTr="009E38CF">
        <w:trPr>
          <w:jc w:val="center"/>
        </w:trPr>
        <w:tc>
          <w:tcPr>
            <w:tcW w:w="742" w:type="pct"/>
            <w:vMerge/>
            <w:tcBorders>
              <w:right w:val="nil"/>
            </w:tcBorders>
            <w:vAlign w:val="center"/>
          </w:tcPr>
          <w:p w:rsidR="0073777B" w:rsidRPr="00EE506E" w:rsidRDefault="0073777B" w:rsidP="009E38CF">
            <w:pPr>
              <w:jc w:val="center"/>
              <w:rPr>
                <w:b/>
                <w:szCs w:val="20"/>
              </w:rPr>
            </w:pPr>
          </w:p>
        </w:tc>
        <w:tc>
          <w:tcPr>
            <w:tcW w:w="325" w:type="pct"/>
            <w:tcBorders>
              <w:top w:val="nil"/>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Program Restructure</w:t>
            </w:r>
          </w:p>
        </w:tc>
      </w:tr>
      <w:tr w:rsidR="0073777B" w:rsidRPr="00EE506E" w:rsidTr="009E38CF">
        <w:trPr>
          <w:jc w:val="center"/>
        </w:trPr>
        <w:tc>
          <w:tcPr>
            <w:tcW w:w="742" w:type="pct"/>
            <w:vMerge/>
            <w:tcBorders>
              <w:right w:val="nil"/>
            </w:tcBorders>
            <w:vAlign w:val="center"/>
          </w:tcPr>
          <w:p w:rsidR="0073777B" w:rsidRPr="00EE506E" w:rsidRDefault="0073777B" w:rsidP="009E38CF">
            <w:pPr>
              <w:jc w:val="center"/>
              <w:rPr>
                <w:b/>
                <w:szCs w:val="20"/>
              </w:rPr>
            </w:pPr>
          </w:p>
        </w:tc>
        <w:tc>
          <w:tcPr>
            <w:tcW w:w="325" w:type="pct"/>
            <w:tcBorders>
              <w:top w:val="nil"/>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Program Consolidation</w:t>
            </w:r>
          </w:p>
        </w:tc>
      </w:tr>
      <w:tr w:rsidR="0073777B" w:rsidRPr="00EE506E" w:rsidTr="009E38CF">
        <w:trPr>
          <w:jc w:val="center"/>
        </w:trPr>
        <w:tc>
          <w:tcPr>
            <w:tcW w:w="742" w:type="pct"/>
            <w:tcBorders>
              <w:right w:val="nil"/>
            </w:tcBorders>
            <w:vAlign w:val="center"/>
          </w:tcPr>
          <w:p w:rsidR="0073777B" w:rsidRPr="00EE506E" w:rsidRDefault="0073777B" w:rsidP="009E38CF">
            <w:pPr>
              <w:jc w:val="center"/>
              <w:rPr>
                <w:b/>
                <w:szCs w:val="20"/>
              </w:rPr>
            </w:pPr>
            <w:r w:rsidRPr="00EE506E">
              <w:rPr>
                <w:b/>
                <w:szCs w:val="20"/>
              </w:rPr>
              <w:t>5.5.3</w:t>
            </w:r>
          </w:p>
        </w:tc>
        <w:tc>
          <w:tcPr>
            <w:tcW w:w="325" w:type="pct"/>
            <w:tcBorders>
              <w:top w:val="nil"/>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Name Change of Existing Programs</w:t>
            </w:r>
          </w:p>
        </w:tc>
      </w:tr>
      <w:tr w:rsidR="0073777B" w:rsidRPr="00EE506E" w:rsidTr="009E38CF">
        <w:trPr>
          <w:jc w:val="center"/>
        </w:trPr>
        <w:tc>
          <w:tcPr>
            <w:tcW w:w="742" w:type="pct"/>
            <w:vMerge w:val="restart"/>
            <w:tcBorders>
              <w:top w:val="nil"/>
              <w:right w:val="nil"/>
            </w:tcBorders>
            <w:vAlign w:val="center"/>
          </w:tcPr>
          <w:p w:rsidR="0073777B" w:rsidRPr="00EE506E" w:rsidRDefault="0073777B" w:rsidP="009E38CF">
            <w:pPr>
              <w:jc w:val="center"/>
              <w:rPr>
                <w:b/>
                <w:szCs w:val="20"/>
              </w:rPr>
            </w:pPr>
            <w:r w:rsidRPr="00EE506E">
              <w:rPr>
                <w:b/>
                <w:szCs w:val="20"/>
              </w:rPr>
              <w:t>5.5.4</w:t>
            </w:r>
          </w:p>
        </w:tc>
        <w:tc>
          <w:tcPr>
            <w:tcW w:w="325" w:type="pct"/>
            <w:tcBorders>
              <w:top w:val="single" w:sz="4" w:space="0" w:color="auto"/>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Program Discontinuation</w:t>
            </w:r>
          </w:p>
        </w:tc>
      </w:tr>
      <w:tr w:rsidR="0073777B" w:rsidRPr="00EE506E" w:rsidTr="009E38CF">
        <w:trPr>
          <w:jc w:val="center"/>
        </w:trPr>
        <w:tc>
          <w:tcPr>
            <w:tcW w:w="742" w:type="pct"/>
            <w:vMerge/>
            <w:tcBorders>
              <w:bottom w:val="single" w:sz="4" w:space="0" w:color="auto"/>
              <w:right w:val="nil"/>
            </w:tcBorders>
            <w:vAlign w:val="center"/>
          </w:tcPr>
          <w:p w:rsidR="0073777B" w:rsidRPr="00EE506E" w:rsidRDefault="0073777B" w:rsidP="009E38CF">
            <w:pPr>
              <w:jc w:val="center"/>
              <w:rPr>
                <w:b/>
                <w:szCs w:val="20"/>
              </w:rPr>
            </w:pPr>
          </w:p>
        </w:tc>
        <w:tc>
          <w:tcPr>
            <w:tcW w:w="325" w:type="pct"/>
            <w:tcBorders>
              <w:top w:val="nil"/>
              <w:left w:val="nil"/>
              <w:bottom w:val="single" w:sz="4" w:space="0" w:color="auto"/>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Program Suspension</w:t>
            </w:r>
          </w:p>
        </w:tc>
      </w:tr>
      <w:tr w:rsidR="0073777B" w:rsidRPr="00EE506E" w:rsidTr="009E38CF">
        <w:trPr>
          <w:jc w:val="center"/>
        </w:trPr>
        <w:tc>
          <w:tcPr>
            <w:tcW w:w="742" w:type="pct"/>
            <w:vMerge w:val="restart"/>
            <w:tcBorders>
              <w:bottom w:val="nil"/>
              <w:right w:val="nil"/>
            </w:tcBorders>
            <w:vAlign w:val="center"/>
          </w:tcPr>
          <w:p w:rsidR="0073777B" w:rsidRPr="00EE506E" w:rsidRDefault="0073777B" w:rsidP="009E38CF">
            <w:pPr>
              <w:jc w:val="center"/>
              <w:rPr>
                <w:b/>
                <w:szCs w:val="20"/>
              </w:rPr>
            </w:pPr>
            <w:r w:rsidRPr="00EE506E">
              <w:rPr>
                <w:b/>
                <w:szCs w:val="20"/>
              </w:rPr>
              <w:t>5.5.5</w:t>
            </w:r>
          </w:p>
        </w:tc>
        <w:tc>
          <w:tcPr>
            <w:tcW w:w="325" w:type="pct"/>
            <w:tcBorders>
              <w:left w:val="nil"/>
              <w:bottom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Reinstatement of Previously Suspended Program</w:t>
            </w:r>
          </w:p>
        </w:tc>
      </w:tr>
      <w:tr w:rsidR="0073777B" w:rsidRPr="00EE506E" w:rsidTr="009E38CF">
        <w:trPr>
          <w:jc w:val="center"/>
        </w:trPr>
        <w:tc>
          <w:tcPr>
            <w:tcW w:w="742" w:type="pct"/>
            <w:vMerge/>
            <w:tcBorders>
              <w:top w:val="nil"/>
              <w:right w:val="nil"/>
            </w:tcBorders>
            <w:vAlign w:val="center"/>
          </w:tcPr>
          <w:p w:rsidR="0073777B" w:rsidRPr="00EE506E" w:rsidRDefault="0073777B" w:rsidP="009E38CF">
            <w:pPr>
              <w:jc w:val="center"/>
              <w:rPr>
                <w:b/>
                <w:szCs w:val="20"/>
              </w:rPr>
            </w:pPr>
          </w:p>
        </w:tc>
        <w:tc>
          <w:tcPr>
            <w:tcW w:w="325" w:type="pct"/>
            <w:tcBorders>
              <w:top w:val="nil"/>
              <w:left w:val="nil"/>
            </w:tcBorders>
            <w:vAlign w:val="center"/>
          </w:tcPr>
          <w:p w:rsidR="0073777B" w:rsidRPr="00EE506E" w:rsidRDefault="00D31EAA" w:rsidP="009E38CF">
            <w:pPr>
              <w:rPr>
                <w:szCs w:val="20"/>
              </w:rPr>
            </w:pPr>
            <w:r w:rsidRPr="00EE506E">
              <w:rPr>
                <w:szCs w:val="20"/>
              </w:rPr>
              <w:fldChar w:fldCharType="begin">
                <w:ffData>
                  <w:name w:val="Check1"/>
                  <w:enabled/>
                  <w:calcOnExit w:val="0"/>
                  <w:checkBox>
                    <w:sizeAuto/>
                    <w:default w:val="0"/>
                  </w:checkBox>
                </w:ffData>
              </w:fldChar>
            </w:r>
            <w:r w:rsidR="0073777B" w:rsidRPr="00EE506E">
              <w:rPr>
                <w:szCs w:val="20"/>
              </w:rPr>
              <w:instrText xml:space="preserve"> FORMCHECKBOX </w:instrText>
            </w:r>
            <w:r w:rsidRPr="00EE506E">
              <w:rPr>
                <w:szCs w:val="20"/>
              </w:rPr>
            </w:r>
            <w:r w:rsidRPr="00EE506E">
              <w:rPr>
                <w:szCs w:val="20"/>
              </w:rPr>
              <w:fldChar w:fldCharType="end"/>
            </w:r>
          </w:p>
        </w:tc>
        <w:tc>
          <w:tcPr>
            <w:tcW w:w="3933" w:type="pct"/>
            <w:vAlign w:val="center"/>
          </w:tcPr>
          <w:p w:rsidR="0073777B" w:rsidRPr="00EE506E" w:rsidRDefault="0073777B" w:rsidP="009E38CF">
            <w:pPr>
              <w:rPr>
                <w:szCs w:val="20"/>
              </w:rPr>
            </w:pPr>
            <w:r w:rsidRPr="00EE506E">
              <w:rPr>
                <w:szCs w:val="20"/>
              </w:rPr>
              <w:t>Reinstatement of Previously Suspended Administrative Unit</w:t>
            </w:r>
          </w:p>
        </w:tc>
      </w:tr>
    </w:tbl>
    <w:p w:rsidR="0073777B" w:rsidRPr="00EE506E" w:rsidRDefault="0073777B" w:rsidP="0073777B">
      <w:pPr>
        <w:rPr>
          <w:sz w:val="20"/>
          <w:szCs w:val="20"/>
        </w:rPr>
      </w:pPr>
    </w:p>
    <w:p w:rsidR="0073777B" w:rsidRPr="00EE506E" w:rsidRDefault="0073777B" w:rsidP="0073777B">
      <w:pPr>
        <w:rPr>
          <w:sz w:val="20"/>
          <w:szCs w:val="20"/>
        </w:rPr>
      </w:pPr>
      <w:r w:rsidRPr="00EE506E">
        <w:rPr>
          <w:sz w:val="20"/>
          <w:szCs w:val="20"/>
        </w:rPr>
        <w:t>*Requires “Section V: Program Curriculum” of Abbreviated Template</w:t>
      </w:r>
    </w:p>
    <w:p w:rsidR="0073777B" w:rsidRPr="00EE506E" w:rsidRDefault="0073777B" w:rsidP="0073777B">
      <w:pPr>
        <w:rPr>
          <w:sz w:val="20"/>
          <w:szCs w:val="20"/>
        </w:rPr>
      </w:pPr>
    </w:p>
    <w:p w:rsidR="0073777B" w:rsidRPr="00EE506E" w:rsidRDefault="0073777B" w:rsidP="0073777B">
      <w:pPr>
        <w:rPr>
          <w:szCs w:val="22"/>
        </w:rPr>
      </w:pPr>
      <w:r w:rsidRPr="00EE506E">
        <w:rPr>
          <w:b/>
          <w:szCs w:val="22"/>
        </w:rPr>
        <w:t>Chief Academic Officer (or Designee) Signature</w:t>
      </w:r>
      <w:r w:rsidRPr="00EE506E">
        <w:rPr>
          <w:szCs w:val="22"/>
        </w:rPr>
        <w:t>:</w:t>
      </w:r>
    </w:p>
    <w:p w:rsidR="0073777B" w:rsidRPr="00EE506E" w:rsidRDefault="0073777B" w:rsidP="0073777B">
      <w:pPr>
        <w:rPr>
          <w:szCs w:val="22"/>
        </w:rPr>
      </w:pPr>
      <w:r w:rsidRPr="00EE506E">
        <w:rPr>
          <w:szCs w:val="22"/>
        </w:rPr>
        <w:t>I certify that all required institutional approvals have been obtained prior to submitting this request to the Office of the Commissioner.</w:t>
      </w:r>
    </w:p>
    <w:p w:rsidR="0073777B" w:rsidRPr="00EE506E" w:rsidRDefault="0073777B" w:rsidP="0073777B">
      <w:pPr>
        <w:rPr>
          <w:szCs w:val="22"/>
        </w:rPr>
      </w:pPr>
    </w:p>
    <w:p w:rsidR="0073777B" w:rsidRPr="00EE506E" w:rsidRDefault="0073777B" w:rsidP="0073777B">
      <w:pPr>
        <w:rPr>
          <w:b/>
          <w:szCs w:val="22"/>
        </w:rPr>
      </w:pPr>
      <w:r w:rsidRPr="00EE506E">
        <w:rPr>
          <w:b/>
          <w:szCs w:val="22"/>
        </w:rPr>
        <w:t>______________________________________</w:t>
      </w:r>
    </w:p>
    <w:p w:rsidR="0073777B" w:rsidRPr="00EE506E" w:rsidRDefault="0073777B" w:rsidP="0073777B">
      <w:pPr>
        <w:rPr>
          <w:i/>
          <w:szCs w:val="22"/>
        </w:rPr>
      </w:pPr>
      <w:r w:rsidRPr="00EE506E">
        <w:rPr>
          <w:b/>
          <w:szCs w:val="22"/>
        </w:rPr>
        <w:t>Signature</w:t>
      </w:r>
      <w:r w:rsidRPr="00EE506E">
        <w:rPr>
          <w:b/>
          <w:szCs w:val="22"/>
        </w:rPr>
        <w:tab/>
      </w:r>
      <w:r w:rsidRPr="00EE506E">
        <w:rPr>
          <w:szCs w:val="22"/>
        </w:rPr>
        <w:tab/>
      </w:r>
      <w:r w:rsidRPr="00EE506E">
        <w:rPr>
          <w:szCs w:val="22"/>
        </w:rPr>
        <w:tab/>
      </w:r>
      <w:r w:rsidRPr="00EE506E">
        <w:rPr>
          <w:szCs w:val="22"/>
        </w:rPr>
        <w:tab/>
      </w:r>
      <w:r w:rsidRPr="00EE506E">
        <w:rPr>
          <w:szCs w:val="22"/>
        </w:rPr>
        <w:tab/>
      </w:r>
      <w:r w:rsidRPr="00EE506E">
        <w:rPr>
          <w:b/>
          <w:szCs w:val="22"/>
        </w:rPr>
        <w:t>Date:</w:t>
      </w:r>
      <w:r w:rsidRPr="00EE506E">
        <w:rPr>
          <w:szCs w:val="22"/>
        </w:rPr>
        <w:t xml:space="preserve">  </w:t>
      </w:r>
      <w:r w:rsidRPr="00EE506E">
        <w:rPr>
          <w:i/>
          <w:szCs w:val="22"/>
        </w:rPr>
        <w:t>0</w:t>
      </w:r>
      <w:r>
        <w:rPr>
          <w:i/>
          <w:szCs w:val="22"/>
        </w:rPr>
        <w:t>9</w:t>
      </w:r>
      <w:r w:rsidRPr="00EE506E">
        <w:rPr>
          <w:i/>
          <w:szCs w:val="22"/>
        </w:rPr>
        <w:t>/</w:t>
      </w:r>
      <w:r>
        <w:rPr>
          <w:i/>
          <w:szCs w:val="22"/>
        </w:rPr>
        <w:t>16</w:t>
      </w:r>
      <w:r w:rsidRPr="00EE506E">
        <w:rPr>
          <w:i/>
          <w:szCs w:val="22"/>
        </w:rPr>
        <w:t>/2013</w:t>
      </w:r>
    </w:p>
    <w:p w:rsidR="0073777B" w:rsidRPr="00EE506E" w:rsidRDefault="0073777B" w:rsidP="0073777B">
      <w:pPr>
        <w:rPr>
          <w:b/>
          <w:szCs w:val="22"/>
        </w:rPr>
      </w:pPr>
    </w:p>
    <w:p w:rsidR="0073777B" w:rsidRPr="00EE506E" w:rsidRDefault="0073777B" w:rsidP="0073777B">
      <w:pPr>
        <w:rPr>
          <w:szCs w:val="22"/>
        </w:rPr>
      </w:pPr>
      <w:r w:rsidRPr="00EE506E">
        <w:rPr>
          <w:b/>
          <w:szCs w:val="22"/>
        </w:rPr>
        <w:t>Printed Name:</w:t>
      </w:r>
      <w:r w:rsidRPr="00EE506E">
        <w:rPr>
          <w:szCs w:val="22"/>
        </w:rPr>
        <w:t xml:space="preserve"> </w:t>
      </w:r>
      <w:r w:rsidRPr="00EE506E">
        <w:rPr>
          <w:i/>
          <w:szCs w:val="22"/>
        </w:rPr>
        <w:t>Michael B. Vaughan</w:t>
      </w:r>
    </w:p>
    <w:p w:rsidR="0073777B" w:rsidRPr="00EE506E" w:rsidRDefault="0073777B" w:rsidP="0073777B">
      <w:pPr>
        <w:rPr>
          <w:b/>
        </w:rPr>
      </w:pPr>
      <w:r w:rsidRPr="00EE506E">
        <w:rPr>
          <w:b/>
        </w:rPr>
        <w:br w:type="page"/>
      </w:r>
    </w:p>
    <w:p w:rsidR="0073777B" w:rsidRPr="00EE506E" w:rsidRDefault="0073777B" w:rsidP="0073777B">
      <w:pPr>
        <w:keepNext/>
        <w:jc w:val="center"/>
        <w:rPr>
          <w:b/>
        </w:rPr>
      </w:pPr>
      <w:r w:rsidRPr="00EE506E">
        <w:rPr>
          <w:b/>
        </w:rPr>
        <w:lastRenderedPageBreak/>
        <w:t>Abbreviated Template</w:t>
      </w:r>
    </w:p>
    <w:p w:rsidR="0073777B" w:rsidRPr="00EE506E" w:rsidRDefault="0073777B" w:rsidP="0073777B">
      <w:pPr>
        <w:keepNext/>
        <w:jc w:val="center"/>
        <w:rPr>
          <w:b/>
        </w:rPr>
      </w:pPr>
      <w:r w:rsidRPr="00EE506E">
        <w:rPr>
          <w:b/>
        </w:rPr>
        <w:t xml:space="preserve">Weber State University </w:t>
      </w:r>
    </w:p>
    <w:p w:rsidR="0073777B" w:rsidRDefault="00DA7B18" w:rsidP="0073777B">
      <w:pPr>
        <w:keepNext/>
        <w:jc w:val="center"/>
        <w:rPr>
          <w:b/>
        </w:rPr>
      </w:pPr>
      <w:r>
        <w:rPr>
          <w:b/>
        </w:rPr>
        <w:t>LGBT Resource</w:t>
      </w:r>
      <w:r w:rsidR="0073777B" w:rsidRPr="00EE506E">
        <w:rPr>
          <w:b/>
        </w:rPr>
        <w:t xml:space="preserve"> Center</w:t>
      </w:r>
    </w:p>
    <w:p w:rsidR="009E1C01" w:rsidRPr="00EE506E" w:rsidRDefault="009E1C01" w:rsidP="0073777B">
      <w:pPr>
        <w:keepNext/>
        <w:jc w:val="center"/>
        <w:rPr>
          <w:b/>
        </w:rPr>
      </w:pPr>
    </w:p>
    <w:p w:rsidR="0073777B" w:rsidRPr="00EE506E" w:rsidRDefault="0073777B" w:rsidP="0073777B">
      <w:pPr>
        <w:jc w:val="center"/>
        <w:rPr>
          <w:b/>
          <w:i/>
          <w:iCs/>
        </w:rPr>
      </w:pPr>
      <w:r w:rsidRPr="00EE506E">
        <w:rPr>
          <w:b/>
          <w:i/>
          <w:iCs/>
        </w:rPr>
        <w:t>0</w:t>
      </w:r>
      <w:r>
        <w:rPr>
          <w:b/>
          <w:i/>
          <w:iCs/>
        </w:rPr>
        <w:t>9</w:t>
      </w:r>
      <w:r w:rsidRPr="00EE506E">
        <w:rPr>
          <w:b/>
          <w:i/>
          <w:iCs/>
        </w:rPr>
        <w:t>/</w:t>
      </w:r>
      <w:r>
        <w:rPr>
          <w:b/>
          <w:i/>
          <w:iCs/>
        </w:rPr>
        <w:t>16</w:t>
      </w:r>
      <w:r w:rsidRPr="00EE506E">
        <w:rPr>
          <w:b/>
          <w:i/>
          <w:iCs/>
        </w:rPr>
        <w:t>/2013</w:t>
      </w:r>
    </w:p>
    <w:p w:rsidR="0073777B" w:rsidRPr="00EE506E" w:rsidRDefault="0073777B" w:rsidP="0073777B">
      <w:pPr>
        <w:jc w:val="center"/>
        <w:rPr>
          <w:b/>
          <w:i/>
          <w:iCs/>
        </w:rPr>
      </w:pPr>
    </w:p>
    <w:p w:rsidR="0073777B" w:rsidRDefault="0073777B" w:rsidP="0073777B">
      <w:pPr>
        <w:keepNext/>
        <w:jc w:val="center"/>
        <w:rPr>
          <w:b/>
        </w:rPr>
      </w:pPr>
      <w:r w:rsidRPr="00EE506E">
        <w:rPr>
          <w:b/>
        </w:rPr>
        <w:t>Section I: Request</w:t>
      </w:r>
    </w:p>
    <w:p w:rsidR="009D7902" w:rsidRPr="00AD0D85" w:rsidRDefault="009D7902" w:rsidP="0043734D">
      <w:pPr>
        <w:rPr>
          <w:szCs w:val="22"/>
        </w:rPr>
      </w:pPr>
    </w:p>
    <w:p w:rsidR="00AD0D85" w:rsidRDefault="00AD0D85" w:rsidP="0043734D">
      <w:pPr>
        <w:rPr>
          <w:b/>
          <w:szCs w:val="22"/>
        </w:rPr>
      </w:pPr>
    </w:p>
    <w:p w:rsidR="00AD0D85" w:rsidRDefault="00AD0D85" w:rsidP="0043734D">
      <w:pPr>
        <w:rPr>
          <w:b/>
          <w:szCs w:val="22"/>
        </w:rPr>
      </w:pPr>
    </w:p>
    <w:p w:rsidR="006F626B" w:rsidRPr="00AD0D85" w:rsidRDefault="006F626B" w:rsidP="0043734D">
      <w:pPr>
        <w:rPr>
          <w:b/>
          <w:szCs w:val="22"/>
        </w:rPr>
      </w:pPr>
      <w:r w:rsidRPr="00AD0D85">
        <w:rPr>
          <w:b/>
          <w:szCs w:val="22"/>
        </w:rPr>
        <w:t>Executive Summary</w:t>
      </w:r>
    </w:p>
    <w:p w:rsidR="006F626B" w:rsidRPr="00AD0D85" w:rsidRDefault="006F626B" w:rsidP="0043734D">
      <w:pPr>
        <w:rPr>
          <w:szCs w:val="22"/>
        </w:rPr>
      </w:pPr>
    </w:p>
    <w:p w:rsidR="006F626B" w:rsidRPr="00AD0D85" w:rsidRDefault="006F626B" w:rsidP="0043734D">
      <w:pPr>
        <w:rPr>
          <w:szCs w:val="22"/>
        </w:rPr>
      </w:pPr>
      <w:r w:rsidRPr="00AD0D85">
        <w:rPr>
          <w:szCs w:val="22"/>
        </w:rPr>
        <w:t xml:space="preserve">Students come to Weber State University with varying needs. </w:t>
      </w:r>
      <w:r w:rsidR="000F4C86" w:rsidRPr="00AD0D85">
        <w:rPr>
          <w:szCs w:val="22"/>
        </w:rPr>
        <w:t xml:space="preserve">The same is true for </w:t>
      </w:r>
      <w:r w:rsidR="00AD0D85" w:rsidRPr="00AD0D85">
        <w:rPr>
          <w:szCs w:val="22"/>
        </w:rPr>
        <w:t xml:space="preserve">students on the campuses of </w:t>
      </w:r>
      <w:r w:rsidR="000F4C86" w:rsidRPr="00AD0D85">
        <w:rPr>
          <w:szCs w:val="22"/>
        </w:rPr>
        <w:t xml:space="preserve">every college and university. </w:t>
      </w:r>
      <w:r w:rsidRPr="00AD0D85">
        <w:rPr>
          <w:szCs w:val="22"/>
        </w:rPr>
        <w:t>Some require minimal support. Others need a great deal of support to succeed. For this reason, WSU offers a wide variety of support services ranging from academic advising, to psychological counseling to health and wellness programs.</w:t>
      </w:r>
    </w:p>
    <w:p w:rsidR="006F626B" w:rsidRPr="00AD0D85" w:rsidRDefault="006F626B" w:rsidP="0043734D">
      <w:pPr>
        <w:rPr>
          <w:szCs w:val="22"/>
        </w:rPr>
      </w:pPr>
    </w:p>
    <w:p w:rsidR="006F626B" w:rsidRPr="00AD0D85" w:rsidRDefault="006F626B" w:rsidP="0043734D">
      <w:pPr>
        <w:rPr>
          <w:szCs w:val="22"/>
        </w:rPr>
      </w:pPr>
      <w:r w:rsidRPr="00AD0D85">
        <w:rPr>
          <w:szCs w:val="22"/>
        </w:rPr>
        <w:t>Unfortunately, many students do not take advantage of the services that they need. Despite best efforts to inform students of the services that are available, many students are unaware that the services exist. Other students have some knowledge of the services, but for some reason assume that they would not qualify for the specific services being offered. Other students are simply embarrassed to admit that they need help.</w:t>
      </w:r>
    </w:p>
    <w:p w:rsidR="006F626B" w:rsidRPr="00AD0D85" w:rsidRDefault="006F626B" w:rsidP="0043734D">
      <w:pPr>
        <w:rPr>
          <w:szCs w:val="22"/>
        </w:rPr>
      </w:pPr>
    </w:p>
    <w:p w:rsidR="006F626B" w:rsidRPr="00AD0D85" w:rsidRDefault="006F626B" w:rsidP="0043734D">
      <w:pPr>
        <w:rPr>
          <w:szCs w:val="22"/>
        </w:rPr>
      </w:pPr>
      <w:r w:rsidRPr="00AD0D85">
        <w:rPr>
          <w:szCs w:val="22"/>
        </w:rPr>
        <w:t>For these reasons, campus</w:t>
      </w:r>
      <w:r w:rsidR="000F4C86" w:rsidRPr="00AD0D85">
        <w:rPr>
          <w:szCs w:val="22"/>
        </w:rPr>
        <w:t>es</w:t>
      </w:r>
      <w:r w:rsidRPr="00AD0D85">
        <w:rPr>
          <w:szCs w:val="22"/>
        </w:rPr>
        <w:t xml:space="preserve"> have created gateways to </w:t>
      </w:r>
      <w:r w:rsidR="000F4C86" w:rsidRPr="00AD0D85">
        <w:rPr>
          <w:szCs w:val="22"/>
        </w:rPr>
        <w:t xml:space="preserve">serve the needs </w:t>
      </w:r>
      <w:r w:rsidR="00D87D9F">
        <w:rPr>
          <w:szCs w:val="22"/>
        </w:rPr>
        <w:t xml:space="preserve">of </w:t>
      </w:r>
      <w:r w:rsidR="000F4C86" w:rsidRPr="00AD0D85">
        <w:rPr>
          <w:szCs w:val="22"/>
        </w:rPr>
        <w:t>specific student groups. These gateways may provide services to students, and equally important,</w:t>
      </w:r>
      <w:r w:rsidR="00547FB7" w:rsidRPr="00AD0D85">
        <w:rPr>
          <w:szCs w:val="22"/>
        </w:rPr>
        <w:t xml:space="preserve"> gateway</w:t>
      </w:r>
      <w:r w:rsidR="00AD0D85" w:rsidRPr="00AD0D85">
        <w:rPr>
          <w:szCs w:val="22"/>
        </w:rPr>
        <w:t>s</w:t>
      </w:r>
      <w:r w:rsidR="000F4C86" w:rsidRPr="00AD0D85">
        <w:rPr>
          <w:szCs w:val="22"/>
        </w:rPr>
        <w:t xml:space="preserve"> may refer students to the myriad of programs and services that already exist on campus. One of the oldest gateway programs on the WSU campus is the Women</w:t>
      </w:r>
      <w:r w:rsidR="00A60840">
        <w:rPr>
          <w:szCs w:val="22"/>
        </w:rPr>
        <w:t>’</w:t>
      </w:r>
      <w:r w:rsidR="000F4C86" w:rsidRPr="00AD0D85">
        <w:rPr>
          <w:szCs w:val="22"/>
        </w:rPr>
        <w:t>s Center which, according to their mission, “provides women with campus connections, community resources, one-on-one advisement, and support groups to help them achieve their academic and personal goals.”</w:t>
      </w:r>
      <w:r w:rsidR="000D2DBD" w:rsidRPr="00AD0D85">
        <w:rPr>
          <w:szCs w:val="22"/>
        </w:rPr>
        <w:t xml:space="preserve"> Other gateway programs serve multicultural students, veteran students, </w:t>
      </w:r>
      <w:r w:rsidR="00A60840">
        <w:rPr>
          <w:szCs w:val="22"/>
        </w:rPr>
        <w:t xml:space="preserve">and </w:t>
      </w:r>
      <w:r w:rsidR="000D2DBD" w:rsidRPr="00AD0D85">
        <w:rPr>
          <w:szCs w:val="22"/>
        </w:rPr>
        <w:t>non-traditional students.</w:t>
      </w:r>
    </w:p>
    <w:p w:rsidR="000D2DBD" w:rsidRPr="00AD0D85" w:rsidRDefault="000D2DBD" w:rsidP="0043734D">
      <w:pPr>
        <w:rPr>
          <w:szCs w:val="22"/>
        </w:rPr>
      </w:pPr>
    </w:p>
    <w:p w:rsidR="006F626B" w:rsidRPr="00AD0D85" w:rsidRDefault="00981B3E" w:rsidP="0043734D">
      <w:pPr>
        <w:rPr>
          <w:szCs w:val="22"/>
        </w:rPr>
      </w:pPr>
      <w:r w:rsidRPr="00AD0D85">
        <w:rPr>
          <w:szCs w:val="22"/>
        </w:rPr>
        <w:t>With this background, the specific</w:t>
      </w:r>
      <w:r w:rsidR="000D2DBD" w:rsidRPr="00AD0D85">
        <w:rPr>
          <w:szCs w:val="22"/>
        </w:rPr>
        <w:t xml:space="preserve"> request is to create a Center for Lesbian, Gay, Bisexual and Transgender (LBGT) students</w:t>
      </w:r>
      <w:r w:rsidRPr="00AD0D85">
        <w:rPr>
          <w:szCs w:val="22"/>
        </w:rPr>
        <w:t xml:space="preserve"> on the Weber State University campus</w:t>
      </w:r>
      <w:r w:rsidR="000D2DBD" w:rsidRPr="00AD0D85">
        <w:rPr>
          <w:szCs w:val="22"/>
        </w:rPr>
        <w:t>. Presently, WSU does not have a center</w:t>
      </w:r>
      <w:r w:rsidRPr="00AD0D85">
        <w:rPr>
          <w:szCs w:val="22"/>
        </w:rPr>
        <w:t xml:space="preserve"> to serve as a gateway for this student population. Clearly, LGBT students are free to make use of services available to all students</w:t>
      </w:r>
      <w:r w:rsidR="000D2DBD" w:rsidRPr="00AD0D85">
        <w:rPr>
          <w:szCs w:val="22"/>
        </w:rPr>
        <w:t xml:space="preserve">. </w:t>
      </w:r>
      <w:r w:rsidRPr="00AD0D85">
        <w:rPr>
          <w:szCs w:val="22"/>
        </w:rPr>
        <w:t xml:space="preserve">However, the creation of an LGBT center would provide a gateway to LGBT students, and by doing so, the center would increase awareness and usage of existing services as well as provide needed services directly. This is critically important because </w:t>
      </w:r>
      <w:r w:rsidR="00547FB7" w:rsidRPr="00AD0D85">
        <w:rPr>
          <w:szCs w:val="22"/>
        </w:rPr>
        <w:t xml:space="preserve">a large volume of </w:t>
      </w:r>
      <w:r w:rsidRPr="00AD0D85">
        <w:rPr>
          <w:szCs w:val="22"/>
        </w:rPr>
        <w:t>research has document</w:t>
      </w:r>
      <w:r w:rsidR="00547FB7" w:rsidRPr="00AD0D85">
        <w:rPr>
          <w:szCs w:val="22"/>
        </w:rPr>
        <w:t>ed</w:t>
      </w:r>
      <w:r w:rsidRPr="00AD0D85">
        <w:rPr>
          <w:szCs w:val="22"/>
        </w:rPr>
        <w:t xml:space="preserve"> that LBGT students are more likely to be harassed and bullied, more likely to feel isolated and more likely to engage in self-destructive behaviors than the general population of students. Suicide among LBGT students is a critical problem. WSU has documented cases of the harassment and bullying of LGBT student</w:t>
      </w:r>
      <w:r w:rsidR="00A60840">
        <w:rPr>
          <w:szCs w:val="22"/>
        </w:rPr>
        <w:t>s</w:t>
      </w:r>
      <w:r w:rsidRPr="00AD0D85">
        <w:rPr>
          <w:szCs w:val="22"/>
        </w:rPr>
        <w:t xml:space="preserve">, and suicides among WSU’s LGBT student population </w:t>
      </w:r>
      <w:r w:rsidR="00547FB7" w:rsidRPr="00AD0D85">
        <w:rPr>
          <w:szCs w:val="22"/>
        </w:rPr>
        <w:t>do occur with troubling</w:t>
      </w:r>
      <w:r w:rsidRPr="00AD0D85">
        <w:rPr>
          <w:szCs w:val="22"/>
        </w:rPr>
        <w:t xml:space="preserve"> regularity. </w:t>
      </w:r>
    </w:p>
    <w:p w:rsidR="00547FB7" w:rsidRPr="00AD0D85" w:rsidRDefault="00547FB7" w:rsidP="0043734D">
      <w:pPr>
        <w:rPr>
          <w:szCs w:val="22"/>
        </w:rPr>
      </w:pPr>
    </w:p>
    <w:p w:rsidR="00547FB7" w:rsidRPr="00AD0D85" w:rsidRDefault="00547FB7" w:rsidP="0043734D">
      <w:pPr>
        <w:rPr>
          <w:szCs w:val="22"/>
        </w:rPr>
      </w:pPr>
      <w:r w:rsidRPr="00AD0D85">
        <w:rPr>
          <w:szCs w:val="22"/>
        </w:rPr>
        <w:t>LGBT Centers are increasingly common across college campuses. A study by Johns Hopkins University found that 87 percent of the colleges and universities ranked by U.S. News had an LGBT Center. In Utah, the University of Utah, Salt Lake Community College and Utah State University have LGBT Centers.</w:t>
      </w:r>
    </w:p>
    <w:p w:rsidR="00547FB7" w:rsidRPr="00AD0D85" w:rsidRDefault="00547FB7" w:rsidP="0043734D">
      <w:pPr>
        <w:rPr>
          <w:szCs w:val="22"/>
        </w:rPr>
      </w:pPr>
    </w:p>
    <w:p w:rsidR="00547FB7" w:rsidRPr="00AD0D85" w:rsidRDefault="00547FB7" w:rsidP="0043734D">
      <w:pPr>
        <w:rPr>
          <w:szCs w:val="22"/>
        </w:rPr>
      </w:pPr>
      <w:r w:rsidRPr="00AD0D85">
        <w:rPr>
          <w:szCs w:val="22"/>
        </w:rPr>
        <w:t xml:space="preserve">The center </w:t>
      </w:r>
      <w:r w:rsidRPr="00AD0D85">
        <w:rPr>
          <w:szCs w:val="22"/>
          <w:u w:val="single"/>
        </w:rPr>
        <w:t>will not</w:t>
      </w:r>
      <w:r w:rsidRPr="00AD0D85">
        <w:rPr>
          <w:szCs w:val="22"/>
        </w:rPr>
        <w:t xml:space="preserve"> advocate that heterosexual students change their sexual orientation. Indeed, the thought of doing so would be anathema to the beliefs of those associated with the LGBT Center.</w:t>
      </w:r>
    </w:p>
    <w:p w:rsidR="00547FB7" w:rsidRPr="00AD0D85" w:rsidRDefault="00547FB7" w:rsidP="0043734D">
      <w:pPr>
        <w:rPr>
          <w:szCs w:val="22"/>
        </w:rPr>
      </w:pPr>
    </w:p>
    <w:p w:rsidR="00AD0D85" w:rsidRDefault="00AD0D85">
      <w:pPr>
        <w:spacing w:after="200" w:line="276" w:lineRule="auto"/>
        <w:rPr>
          <w:szCs w:val="22"/>
        </w:rPr>
      </w:pPr>
      <w:r>
        <w:rPr>
          <w:szCs w:val="22"/>
        </w:rPr>
        <w:br w:type="page"/>
      </w:r>
    </w:p>
    <w:p w:rsidR="00547FB7" w:rsidRPr="00AD0D85" w:rsidRDefault="00547FB7" w:rsidP="0043734D">
      <w:pPr>
        <w:rPr>
          <w:szCs w:val="22"/>
        </w:rPr>
      </w:pPr>
    </w:p>
    <w:p w:rsidR="00547FB7" w:rsidRPr="00AD0D85" w:rsidRDefault="00547FB7" w:rsidP="0043734D">
      <w:pPr>
        <w:rPr>
          <w:szCs w:val="22"/>
        </w:rPr>
      </w:pPr>
    </w:p>
    <w:p w:rsidR="006F626B" w:rsidRPr="00AD0D85" w:rsidRDefault="006F626B" w:rsidP="0043734D">
      <w:pPr>
        <w:rPr>
          <w:szCs w:val="22"/>
        </w:rPr>
      </w:pPr>
    </w:p>
    <w:p w:rsidR="006F626B" w:rsidRPr="00AD0D85" w:rsidRDefault="006F626B" w:rsidP="0043734D">
      <w:pPr>
        <w:rPr>
          <w:b/>
          <w:szCs w:val="22"/>
        </w:rPr>
      </w:pPr>
      <w:r w:rsidRPr="00AD0D85">
        <w:rPr>
          <w:b/>
          <w:szCs w:val="22"/>
        </w:rPr>
        <w:t xml:space="preserve">The </w:t>
      </w:r>
      <w:r w:rsidR="00AD0D85">
        <w:rPr>
          <w:b/>
          <w:szCs w:val="22"/>
        </w:rPr>
        <w:t xml:space="preserve">Proposed Weber State University </w:t>
      </w:r>
      <w:r w:rsidRPr="00AD0D85">
        <w:rPr>
          <w:b/>
          <w:szCs w:val="22"/>
        </w:rPr>
        <w:t>LGBT Center</w:t>
      </w:r>
    </w:p>
    <w:p w:rsidR="006F626B" w:rsidRPr="00AD0D85" w:rsidRDefault="006F626B" w:rsidP="0043734D">
      <w:pPr>
        <w:rPr>
          <w:szCs w:val="22"/>
        </w:rPr>
      </w:pPr>
    </w:p>
    <w:p w:rsidR="0043734D" w:rsidRPr="00AD0D85" w:rsidRDefault="0043734D" w:rsidP="0043734D">
      <w:pPr>
        <w:rPr>
          <w:szCs w:val="22"/>
        </w:rPr>
      </w:pPr>
      <w:r w:rsidRPr="00AD0D85">
        <w:rPr>
          <w:szCs w:val="22"/>
        </w:rPr>
        <w:t>Weber State University seeks a Center for Lesbian, Gay, Bisexual and Transgender (LBGT) education and resources. As a group that has been historically subject to rejection and discrimination, LGBT members of the Weber State University community f</w:t>
      </w:r>
      <w:r w:rsidR="000F4C86" w:rsidRPr="00AD0D85">
        <w:rPr>
          <w:szCs w:val="22"/>
        </w:rPr>
        <w:t xml:space="preserve">ace discrimination, harassment </w:t>
      </w:r>
      <w:r w:rsidRPr="00AD0D85">
        <w:rPr>
          <w:szCs w:val="22"/>
        </w:rPr>
        <w:t xml:space="preserve">and isolation both within and beyond the WSU campus. </w:t>
      </w:r>
    </w:p>
    <w:p w:rsidR="0043734D" w:rsidRPr="00AD0D85" w:rsidRDefault="0043734D" w:rsidP="0043734D">
      <w:pPr>
        <w:rPr>
          <w:szCs w:val="22"/>
        </w:rPr>
      </w:pPr>
    </w:p>
    <w:p w:rsidR="0043734D" w:rsidRPr="00AD0D85" w:rsidRDefault="0043734D" w:rsidP="0043734D">
      <w:pPr>
        <w:numPr>
          <w:ilvl w:val="12"/>
          <w:numId w:val="0"/>
        </w:numPr>
        <w:rPr>
          <w:szCs w:val="22"/>
        </w:rPr>
      </w:pPr>
      <w:r w:rsidRPr="00AD0D85">
        <w:rPr>
          <w:szCs w:val="22"/>
        </w:rPr>
        <w:t>To begin to combat these challen</w:t>
      </w:r>
      <w:r w:rsidR="00547FB7" w:rsidRPr="00AD0D85">
        <w:rPr>
          <w:szCs w:val="22"/>
        </w:rPr>
        <w:t>ges, Weber State University is ready to</w:t>
      </w:r>
      <w:r w:rsidRPr="00AD0D85">
        <w:rPr>
          <w:szCs w:val="22"/>
        </w:rPr>
        <w:t xml:space="preserve"> dedicate resources that provide institutional support and visibility for the LGBT community.  After much discussion and deliberation, a broad committee of students, faculty</w:t>
      </w:r>
      <w:r w:rsidR="00547FB7" w:rsidRPr="00AD0D85">
        <w:rPr>
          <w:szCs w:val="22"/>
        </w:rPr>
        <w:t>, staff</w:t>
      </w:r>
      <w:r w:rsidRPr="00AD0D85">
        <w:rPr>
          <w:szCs w:val="22"/>
        </w:rPr>
        <w:t xml:space="preserve"> and community </w:t>
      </w:r>
      <w:r w:rsidR="000D2DBD" w:rsidRPr="00AD0D85">
        <w:rPr>
          <w:szCs w:val="22"/>
        </w:rPr>
        <w:t>members</w:t>
      </w:r>
      <w:r w:rsidRPr="00AD0D85">
        <w:rPr>
          <w:szCs w:val="22"/>
        </w:rPr>
        <w:t xml:space="preserve"> have collaborated on this proposal to establish WSU’s first LGBT Center.  The </w:t>
      </w:r>
      <w:r w:rsidR="00547FB7" w:rsidRPr="00AD0D85">
        <w:rPr>
          <w:szCs w:val="22"/>
        </w:rPr>
        <w:t>LGBT Center</w:t>
      </w:r>
      <w:r w:rsidRPr="00AD0D85">
        <w:rPr>
          <w:szCs w:val="22"/>
        </w:rPr>
        <w:t xml:space="preserve"> will stand as part of </w:t>
      </w:r>
      <w:r w:rsidR="00A60840">
        <w:rPr>
          <w:szCs w:val="22"/>
        </w:rPr>
        <w:t>the WSU</w:t>
      </w:r>
      <w:r w:rsidRPr="00AD0D85">
        <w:rPr>
          <w:szCs w:val="22"/>
        </w:rPr>
        <w:t xml:space="preserve"> vision to embrace equality and diversity.</w:t>
      </w:r>
    </w:p>
    <w:p w:rsidR="0043734D" w:rsidRPr="00AD0D85" w:rsidRDefault="0043734D" w:rsidP="0043734D">
      <w:pPr>
        <w:numPr>
          <w:ilvl w:val="12"/>
          <w:numId w:val="0"/>
        </w:numPr>
        <w:rPr>
          <w:szCs w:val="22"/>
        </w:rPr>
      </w:pPr>
    </w:p>
    <w:p w:rsidR="0043734D" w:rsidRPr="00AD0D85" w:rsidRDefault="0043734D" w:rsidP="0043734D">
      <w:pPr>
        <w:numPr>
          <w:ilvl w:val="12"/>
          <w:numId w:val="0"/>
        </w:numPr>
        <w:rPr>
          <w:szCs w:val="22"/>
        </w:rPr>
      </w:pPr>
      <w:r w:rsidRPr="00AD0D85">
        <w:rPr>
          <w:szCs w:val="22"/>
        </w:rPr>
        <w:t>A Resource Center that is professionally staffed, has adequate administrative support, and centrally located is a necessity to meet the unique needs of the LGBT community.  Once established, the Resource Center will also be able to efficiently gather and organize Weber State’s resources and become the focal point for LGBT programming, research, outreach and education.</w:t>
      </w:r>
    </w:p>
    <w:p w:rsidR="0043734D" w:rsidRPr="00AD0D85" w:rsidRDefault="0043734D" w:rsidP="0043734D">
      <w:pPr>
        <w:numPr>
          <w:ilvl w:val="12"/>
          <w:numId w:val="0"/>
        </w:numPr>
        <w:rPr>
          <w:szCs w:val="22"/>
        </w:rPr>
      </w:pPr>
    </w:p>
    <w:p w:rsidR="00752BA7" w:rsidRPr="00AD0D85" w:rsidRDefault="0043734D" w:rsidP="0043734D">
      <w:pPr>
        <w:jc w:val="both"/>
        <w:rPr>
          <w:szCs w:val="22"/>
        </w:rPr>
      </w:pPr>
      <w:r w:rsidRPr="00AD0D85">
        <w:rPr>
          <w:szCs w:val="22"/>
        </w:rPr>
        <w:t xml:space="preserve">In addition to meeting the needs of current members of the Weber State </w:t>
      </w:r>
      <w:r w:rsidR="00547FB7" w:rsidRPr="00AD0D85">
        <w:rPr>
          <w:szCs w:val="22"/>
        </w:rPr>
        <w:t>University</w:t>
      </w:r>
      <w:r w:rsidRPr="00AD0D85">
        <w:rPr>
          <w:szCs w:val="22"/>
        </w:rPr>
        <w:t xml:space="preserve"> community, the creation of the LGBT Center will allow WSU to recruit and retain talented students from </w:t>
      </w:r>
      <w:r w:rsidR="00547FB7" w:rsidRPr="00AD0D85">
        <w:rPr>
          <w:szCs w:val="22"/>
        </w:rPr>
        <w:t>Northern</w:t>
      </w:r>
      <w:r w:rsidRPr="00AD0D85">
        <w:rPr>
          <w:szCs w:val="22"/>
        </w:rPr>
        <w:t xml:space="preserve"> Uta</w:t>
      </w:r>
      <w:r w:rsidR="00A60840">
        <w:rPr>
          <w:szCs w:val="22"/>
        </w:rPr>
        <w:t xml:space="preserve">h.  As a visible symbol of WSU’s </w:t>
      </w:r>
      <w:r w:rsidRPr="00AD0D85">
        <w:rPr>
          <w:szCs w:val="22"/>
        </w:rPr>
        <w:t>equality, diversity and commitment to the creation of a culture where everyone’s contributions are valued, members of a largely invisible identity will be attracted to study and learn at WSU.</w:t>
      </w:r>
    </w:p>
    <w:p w:rsidR="0043734D" w:rsidRPr="00AD0D85" w:rsidRDefault="0043734D" w:rsidP="007F1EAA">
      <w:pPr>
        <w:jc w:val="both"/>
        <w:rPr>
          <w:szCs w:val="22"/>
        </w:rPr>
      </w:pPr>
    </w:p>
    <w:p w:rsidR="0073777B" w:rsidRPr="00AD0D85" w:rsidRDefault="009A56A9" w:rsidP="007F1EAA">
      <w:pPr>
        <w:jc w:val="both"/>
        <w:rPr>
          <w:szCs w:val="22"/>
        </w:rPr>
      </w:pPr>
      <w:r>
        <w:rPr>
          <w:szCs w:val="22"/>
        </w:rPr>
        <w:t>The role</w:t>
      </w:r>
      <w:r w:rsidR="0073777B" w:rsidRPr="00AD0D85">
        <w:rPr>
          <w:szCs w:val="22"/>
        </w:rPr>
        <w:t xml:space="preserve"> </w:t>
      </w:r>
      <w:r w:rsidR="00752BA7" w:rsidRPr="00AD0D85">
        <w:rPr>
          <w:szCs w:val="22"/>
        </w:rPr>
        <w:t xml:space="preserve">of this </w:t>
      </w:r>
      <w:r w:rsidR="007F1EAA" w:rsidRPr="00AD0D85">
        <w:rPr>
          <w:szCs w:val="22"/>
        </w:rPr>
        <w:t>C</w:t>
      </w:r>
      <w:r w:rsidR="00752BA7" w:rsidRPr="00AD0D85">
        <w:rPr>
          <w:szCs w:val="22"/>
        </w:rPr>
        <w:t xml:space="preserve">enter </w:t>
      </w:r>
      <w:r>
        <w:rPr>
          <w:szCs w:val="22"/>
        </w:rPr>
        <w:t xml:space="preserve">is to provide </w:t>
      </w:r>
      <w:r w:rsidR="0067441A" w:rsidRPr="00AD0D85">
        <w:rPr>
          <w:szCs w:val="22"/>
        </w:rPr>
        <w:t xml:space="preserve">support </w:t>
      </w:r>
      <w:r>
        <w:rPr>
          <w:szCs w:val="22"/>
        </w:rPr>
        <w:t xml:space="preserve">and a place </w:t>
      </w:r>
      <w:r w:rsidR="0067441A" w:rsidRPr="00AD0D85">
        <w:rPr>
          <w:szCs w:val="22"/>
        </w:rPr>
        <w:t>where LGBT</w:t>
      </w:r>
      <w:r w:rsidR="00E05F55" w:rsidRPr="00AD0D85">
        <w:rPr>
          <w:szCs w:val="22"/>
        </w:rPr>
        <w:t xml:space="preserve"> individuals and allies can find a sense of community and whe</w:t>
      </w:r>
      <w:r w:rsidR="0067441A" w:rsidRPr="00AD0D85">
        <w:rPr>
          <w:szCs w:val="22"/>
        </w:rPr>
        <w:t>re everyone can learn about LGBT</w:t>
      </w:r>
      <w:r w:rsidR="00E05F55" w:rsidRPr="00AD0D85">
        <w:rPr>
          <w:szCs w:val="22"/>
        </w:rPr>
        <w:t xml:space="preserve"> identity and culture in a safe environment.  This is done by providing activities, programs and services that create community; empower community members; provide essential resources; advocate for civil and human rights; and e</w:t>
      </w:r>
      <w:r w:rsidR="00A60840">
        <w:rPr>
          <w:szCs w:val="22"/>
        </w:rPr>
        <w:t xml:space="preserve">mbrace, promote and support </w:t>
      </w:r>
      <w:r w:rsidR="00E05F55" w:rsidRPr="00AD0D85">
        <w:rPr>
          <w:szCs w:val="22"/>
        </w:rPr>
        <w:t xml:space="preserve">cultural diversity.  Furthermore, through </w:t>
      </w:r>
      <w:r w:rsidR="00A60840">
        <w:rPr>
          <w:szCs w:val="22"/>
        </w:rPr>
        <w:t>these opportunities, WSU will be</w:t>
      </w:r>
      <w:r w:rsidR="00E05F55" w:rsidRPr="00AD0D85">
        <w:rPr>
          <w:szCs w:val="22"/>
        </w:rPr>
        <w:t xml:space="preserve"> to </w:t>
      </w:r>
      <w:r w:rsidR="00752BA7" w:rsidRPr="00AD0D85">
        <w:rPr>
          <w:szCs w:val="22"/>
        </w:rPr>
        <w:t>cultivat</w:t>
      </w:r>
      <w:r w:rsidR="00E05F55" w:rsidRPr="00AD0D85">
        <w:rPr>
          <w:szCs w:val="22"/>
        </w:rPr>
        <w:t>e</w:t>
      </w:r>
      <w:r w:rsidR="009E1C01" w:rsidRPr="00AD0D85">
        <w:rPr>
          <w:szCs w:val="22"/>
        </w:rPr>
        <w:t xml:space="preserve"> leadership, provide support</w:t>
      </w:r>
      <w:r w:rsidR="00752BA7" w:rsidRPr="00AD0D85">
        <w:rPr>
          <w:szCs w:val="22"/>
        </w:rPr>
        <w:t xml:space="preserve"> and collaborat</w:t>
      </w:r>
      <w:r w:rsidR="00E05F55" w:rsidRPr="00AD0D85">
        <w:rPr>
          <w:szCs w:val="22"/>
        </w:rPr>
        <w:t>e</w:t>
      </w:r>
      <w:r w:rsidR="00752BA7" w:rsidRPr="00AD0D85">
        <w:rPr>
          <w:szCs w:val="22"/>
        </w:rPr>
        <w:t xml:space="preserve"> with others.</w:t>
      </w:r>
      <w:r w:rsidR="00C27B5B">
        <w:rPr>
          <w:szCs w:val="22"/>
        </w:rPr>
        <w:t xml:space="preserve"> </w:t>
      </w:r>
      <w:r w:rsidR="0073777B" w:rsidRPr="00AD0D85">
        <w:rPr>
          <w:szCs w:val="22"/>
        </w:rPr>
        <w:t xml:space="preserve">The </w:t>
      </w:r>
      <w:r w:rsidR="007F1EAA" w:rsidRPr="00AD0D85">
        <w:rPr>
          <w:szCs w:val="22"/>
        </w:rPr>
        <w:t>C</w:t>
      </w:r>
      <w:r w:rsidR="0073777B" w:rsidRPr="00AD0D85">
        <w:rPr>
          <w:szCs w:val="22"/>
        </w:rPr>
        <w:t xml:space="preserve">enter will offer a </w:t>
      </w:r>
      <w:r w:rsidR="007F1EAA" w:rsidRPr="00AD0D85">
        <w:rPr>
          <w:szCs w:val="22"/>
        </w:rPr>
        <w:t xml:space="preserve">safe </w:t>
      </w:r>
      <w:r w:rsidR="0073777B" w:rsidRPr="00AD0D85">
        <w:rPr>
          <w:szCs w:val="22"/>
        </w:rPr>
        <w:t xml:space="preserve">environment where </w:t>
      </w:r>
      <w:r w:rsidR="0067441A" w:rsidRPr="00AD0D85">
        <w:rPr>
          <w:szCs w:val="22"/>
        </w:rPr>
        <w:t>LGBT</w:t>
      </w:r>
      <w:r w:rsidR="007F1EAA" w:rsidRPr="00AD0D85">
        <w:rPr>
          <w:szCs w:val="22"/>
        </w:rPr>
        <w:t xml:space="preserve"> students, faculty, staff and community members </w:t>
      </w:r>
      <w:r w:rsidR="0073777B" w:rsidRPr="00AD0D85">
        <w:rPr>
          <w:szCs w:val="22"/>
        </w:rPr>
        <w:t xml:space="preserve">will be able to obtain </w:t>
      </w:r>
      <w:r w:rsidR="007F1EAA" w:rsidRPr="00AD0D85">
        <w:rPr>
          <w:szCs w:val="22"/>
        </w:rPr>
        <w:t>information, resources and services regardless of the</w:t>
      </w:r>
      <w:r w:rsidR="00DA7B18" w:rsidRPr="00AD0D85">
        <w:rPr>
          <w:szCs w:val="22"/>
        </w:rPr>
        <w:t>ir sexuality</w:t>
      </w:r>
      <w:r w:rsidR="007F1EAA" w:rsidRPr="00AD0D85">
        <w:rPr>
          <w:szCs w:val="22"/>
        </w:rPr>
        <w:t xml:space="preserve">.  </w:t>
      </w:r>
    </w:p>
    <w:p w:rsidR="009D7902" w:rsidRPr="00AD0D85" w:rsidRDefault="009D7902" w:rsidP="009D79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szCs w:val="22"/>
        </w:rPr>
      </w:pPr>
    </w:p>
    <w:p w:rsidR="0073777B" w:rsidRPr="00AD0D85" w:rsidRDefault="0073777B" w:rsidP="0073777B">
      <w:pPr>
        <w:keepNext/>
        <w:jc w:val="center"/>
        <w:rPr>
          <w:b/>
          <w:szCs w:val="22"/>
        </w:rPr>
      </w:pPr>
      <w:r w:rsidRPr="00AD0D85">
        <w:rPr>
          <w:b/>
          <w:szCs w:val="22"/>
        </w:rPr>
        <w:t>Section II: Need</w:t>
      </w:r>
    </w:p>
    <w:p w:rsidR="0073777B" w:rsidRPr="00AD0D85" w:rsidRDefault="0073777B" w:rsidP="0073777B">
      <w:pPr>
        <w:rPr>
          <w:i/>
          <w:szCs w:val="22"/>
        </w:rPr>
      </w:pPr>
    </w:p>
    <w:p w:rsidR="00C27B5B" w:rsidRDefault="004D380E" w:rsidP="0073777B">
      <w:pPr>
        <w:rPr>
          <w:szCs w:val="22"/>
        </w:rPr>
      </w:pPr>
      <w:r w:rsidRPr="00AD0D85">
        <w:rPr>
          <w:szCs w:val="22"/>
        </w:rPr>
        <w:t>It is critical to provide the LGBT community the resources needed to reduce the risk of suicide, homelessness, unemployment, low educational attainment, substance abuse and various other health risks</w:t>
      </w:r>
      <w:r w:rsidR="00C27B5B">
        <w:rPr>
          <w:szCs w:val="22"/>
        </w:rPr>
        <w:t xml:space="preserve">. </w:t>
      </w:r>
      <w:r w:rsidR="009353A7" w:rsidRPr="00AD0D85">
        <w:rPr>
          <w:szCs w:val="22"/>
        </w:rPr>
        <w:t xml:space="preserve">These twin goals of saving lives and transforming communities will be accomplished with a combination of direct </w:t>
      </w:r>
      <w:r w:rsidR="00C27B5B">
        <w:rPr>
          <w:szCs w:val="22"/>
        </w:rPr>
        <w:t xml:space="preserve">and referral </w:t>
      </w:r>
      <w:r w:rsidR="009353A7" w:rsidRPr="00AD0D85">
        <w:rPr>
          <w:szCs w:val="22"/>
        </w:rPr>
        <w:t>services</w:t>
      </w:r>
    </w:p>
    <w:p w:rsidR="00C27B5B" w:rsidRDefault="00C27B5B" w:rsidP="0073777B">
      <w:pPr>
        <w:rPr>
          <w:szCs w:val="22"/>
        </w:rPr>
      </w:pPr>
    </w:p>
    <w:p w:rsidR="005C6901" w:rsidRDefault="005C6901" w:rsidP="0073777B">
      <w:pPr>
        <w:rPr>
          <w:szCs w:val="22"/>
        </w:rPr>
      </w:pPr>
      <w:r w:rsidRPr="00AD0D85">
        <w:rPr>
          <w:szCs w:val="22"/>
        </w:rPr>
        <w:t>According to the Council for the Advancement of Standards in Higher Education (CAS), it is no longer a matter of whether to provide services for lesbian, gay, bisexual and transgender (LGBT) students; rather, it is a matter of when.  The talent, energy and hope with which LGBT students are entering college must be acknowledged (</w:t>
      </w:r>
      <w:proofErr w:type="spellStart"/>
      <w:r w:rsidRPr="00AD0D85">
        <w:rPr>
          <w:szCs w:val="22"/>
        </w:rPr>
        <w:t>Sanlo</w:t>
      </w:r>
      <w:proofErr w:type="spellEnd"/>
      <w:r w:rsidRPr="00AD0D85">
        <w:rPr>
          <w:szCs w:val="22"/>
        </w:rPr>
        <w:t>, 1</w:t>
      </w:r>
      <w:r w:rsidR="00A60840">
        <w:rPr>
          <w:szCs w:val="22"/>
        </w:rPr>
        <w:t xml:space="preserve">998).  </w:t>
      </w:r>
    </w:p>
    <w:p w:rsidR="00C27B5B" w:rsidRPr="00AD0D85" w:rsidRDefault="00C27B5B" w:rsidP="0073777B">
      <w:pPr>
        <w:rPr>
          <w:szCs w:val="22"/>
        </w:rPr>
      </w:pPr>
    </w:p>
    <w:p w:rsidR="007A4986" w:rsidRPr="00AD0D85" w:rsidRDefault="007A4986" w:rsidP="0073777B">
      <w:pPr>
        <w:rPr>
          <w:szCs w:val="22"/>
        </w:rPr>
      </w:pPr>
      <w:r w:rsidRPr="00AD0D85">
        <w:rPr>
          <w:szCs w:val="22"/>
        </w:rPr>
        <w:t>The proposed Center will also serve a significant benefit by supporting student retention and persistence by serving as the point of entry that connects to other services and resources on campus.  Student leadership, peer mentoring and commun</w:t>
      </w:r>
      <w:r w:rsidR="00A60840">
        <w:rPr>
          <w:szCs w:val="22"/>
        </w:rPr>
        <w:t>ity projects further enhance the</w:t>
      </w:r>
      <w:r w:rsidRPr="00AD0D85">
        <w:rPr>
          <w:szCs w:val="22"/>
        </w:rPr>
        <w:t xml:space="preserve"> ability to tap this underrepresented population.</w:t>
      </w:r>
    </w:p>
    <w:p w:rsidR="0073777B" w:rsidRPr="00AD0D85" w:rsidRDefault="0073777B" w:rsidP="0073777B">
      <w:pPr>
        <w:ind w:firstLine="720"/>
        <w:rPr>
          <w:szCs w:val="22"/>
        </w:rPr>
      </w:pPr>
      <w:r w:rsidRPr="00AD0D85">
        <w:rPr>
          <w:szCs w:val="22"/>
        </w:rPr>
        <w:tab/>
      </w:r>
    </w:p>
    <w:p w:rsidR="00C27B5B" w:rsidRDefault="00C27B5B">
      <w:pPr>
        <w:spacing w:after="200" w:line="276" w:lineRule="auto"/>
        <w:rPr>
          <w:i/>
          <w:szCs w:val="22"/>
        </w:rPr>
      </w:pPr>
      <w:r>
        <w:rPr>
          <w:i/>
          <w:szCs w:val="22"/>
        </w:rPr>
        <w:br w:type="page"/>
      </w:r>
    </w:p>
    <w:p w:rsidR="0073777B" w:rsidRPr="00AD0D85" w:rsidRDefault="0073777B" w:rsidP="0073777B">
      <w:pPr>
        <w:rPr>
          <w:i/>
          <w:szCs w:val="22"/>
        </w:rPr>
      </w:pPr>
    </w:p>
    <w:p w:rsidR="0073777B" w:rsidRPr="00AD0D85" w:rsidRDefault="0073777B" w:rsidP="0073777B">
      <w:pPr>
        <w:keepNext/>
        <w:jc w:val="center"/>
        <w:rPr>
          <w:b/>
          <w:szCs w:val="22"/>
        </w:rPr>
      </w:pPr>
      <w:r w:rsidRPr="00AD0D85">
        <w:rPr>
          <w:b/>
          <w:szCs w:val="22"/>
        </w:rPr>
        <w:t>Section III: Institutional Impact</w:t>
      </w:r>
    </w:p>
    <w:p w:rsidR="0073777B" w:rsidRPr="00AD0D85" w:rsidRDefault="0073777B" w:rsidP="0073777B">
      <w:pPr>
        <w:rPr>
          <w:i/>
          <w:szCs w:val="22"/>
        </w:rPr>
      </w:pPr>
      <w:r w:rsidRPr="00AD0D85">
        <w:rPr>
          <w:i/>
          <w:szCs w:val="22"/>
        </w:rPr>
        <w:tab/>
      </w:r>
    </w:p>
    <w:p w:rsidR="004C7D44" w:rsidRPr="00AD0D85" w:rsidRDefault="004C7D44" w:rsidP="004C7D44">
      <w:pPr>
        <w:rPr>
          <w:szCs w:val="22"/>
        </w:rPr>
      </w:pPr>
      <w:r w:rsidRPr="00AD0D85">
        <w:rPr>
          <w:szCs w:val="22"/>
        </w:rPr>
        <w:t>The Center will be housed within Student Affairs, which has administrative resources and expertise to help underrepresented and multicultural populations. The organization is committed to supporting the resources needed for a program director and student leaders to actively engage campus and community members.  In addition, the LGBT Resource Center will be providing faculty grants to develop course content around LGBT history/culture as appropriate for the field.</w:t>
      </w:r>
    </w:p>
    <w:p w:rsidR="004C7D44" w:rsidRDefault="004C7D44" w:rsidP="0073777B">
      <w:pPr>
        <w:rPr>
          <w:szCs w:val="22"/>
        </w:rPr>
      </w:pPr>
    </w:p>
    <w:p w:rsidR="00A5788E" w:rsidRPr="00AD0D85" w:rsidRDefault="0073777B" w:rsidP="0073777B">
      <w:pPr>
        <w:rPr>
          <w:szCs w:val="22"/>
        </w:rPr>
      </w:pPr>
      <w:r w:rsidRPr="00AD0D85">
        <w:rPr>
          <w:szCs w:val="22"/>
        </w:rPr>
        <w:t>The LGBT Resource Center will work with direct outreach in the community</w:t>
      </w:r>
      <w:r w:rsidR="008A0D41" w:rsidRPr="00AD0D85">
        <w:rPr>
          <w:szCs w:val="22"/>
        </w:rPr>
        <w:t xml:space="preserve"> and on campus</w:t>
      </w:r>
      <w:r w:rsidR="004C7D44">
        <w:rPr>
          <w:szCs w:val="22"/>
        </w:rPr>
        <w:t>. T</w:t>
      </w:r>
      <w:r w:rsidR="00A60840">
        <w:rPr>
          <w:szCs w:val="22"/>
        </w:rPr>
        <w:t>he Center</w:t>
      </w:r>
      <w:r w:rsidRPr="00AD0D85">
        <w:rPr>
          <w:szCs w:val="22"/>
        </w:rPr>
        <w:t xml:space="preserve"> will work </w:t>
      </w:r>
      <w:r w:rsidR="00547FB7" w:rsidRPr="00AD0D85">
        <w:rPr>
          <w:szCs w:val="22"/>
        </w:rPr>
        <w:t>through</w:t>
      </w:r>
      <w:r w:rsidRPr="00AD0D85">
        <w:rPr>
          <w:szCs w:val="22"/>
        </w:rPr>
        <w:t xml:space="preserve"> existing networks including the Student Gay Straight Alliance, the Faculty Staff Gay Straight Alliance,</w:t>
      </w:r>
      <w:r w:rsidR="00A60840">
        <w:rPr>
          <w:szCs w:val="22"/>
        </w:rPr>
        <w:t xml:space="preserve"> and</w:t>
      </w:r>
      <w:r w:rsidRPr="00AD0D85">
        <w:rPr>
          <w:szCs w:val="22"/>
        </w:rPr>
        <w:t xml:space="preserve"> the Center for Diversity &amp; Unity and community programs such as </w:t>
      </w:r>
      <w:r w:rsidR="00A5788E" w:rsidRPr="00AD0D85">
        <w:rPr>
          <w:szCs w:val="22"/>
        </w:rPr>
        <w:t>Northern Utah Coalition HIV/AIDS</w:t>
      </w:r>
      <w:r w:rsidR="007A4986" w:rsidRPr="00AD0D85">
        <w:rPr>
          <w:szCs w:val="22"/>
        </w:rPr>
        <w:t xml:space="preserve">, </w:t>
      </w:r>
      <w:r w:rsidRPr="00AD0D85">
        <w:rPr>
          <w:szCs w:val="22"/>
        </w:rPr>
        <w:t xml:space="preserve">the Utah Pride Center and Equality Utah. </w:t>
      </w:r>
      <w:r w:rsidR="008A0D41" w:rsidRPr="00AD0D85">
        <w:rPr>
          <w:szCs w:val="22"/>
        </w:rPr>
        <w:t xml:space="preserve">The LGBT Resource Center will work particularly closely with the OUTreach Resource Center, Inc., which has been pioneering work in this area for close to a decade. </w:t>
      </w:r>
    </w:p>
    <w:p w:rsidR="00A5788E" w:rsidRPr="00AD0D85" w:rsidRDefault="00A5788E" w:rsidP="0073777B">
      <w:pPr>
        <w:rPr>
          <w:szCs w:val="22"/>
        </w:rPr>
      </w:pPr>
    </w:p>
    <w:p w:rsidR="0073777B" w:rsidRPr="00AD0D85" w:rsidRDefault="0073777B" w:rsidP="0073777B">
      <w:pPr>
        <w:rPr>
          <w:i/>
          <w:szCs w:val="22"/>
        </w:rPr>
      </w:pPr>
      <w:r w:rsidRPr="00AD0D85">
        <w:rPr>
          <w:szCs w:val="22"/>
        </w:rPr>
        <w:t xml:space="preserve"> </w:t>
      </w:r>
      <w:r w:rsidRPr="00AD0D85">
        <w:rPr>
          <w:szCs w:val="22"/>
        </w:rPr>
        <w:tab/>
      </w:r>
      <w:r w:rsidRPr="00AD0D85">
        <w:rPr>
          <w:szCs w:val="22"/>
        </w:rPr>
        <w:tab/>
      </w:r>
    </w:p>
    <w:p w:rsidR="0073777B" w:rsidRPr="00AD0D85" w:rsidRDefault="0073777B" w:rsidP="0073777B">
      <w:pPr>
        <w:keepNext/>
        <w:jc w:val="center"/>
        <w:rPr>
          <w:b/>
          <w:szCs w:val="22"/>
        </w:rPr>
      </w:pPr>
      <w:r w:rsidRPr="00AD0D85">
        <w:rPr>
          <w:b/>
          <w:szCs w:val="22"/>
        </w:rPr>
        <w:t>Section IV: Finances</w:t>
      </w:r>
    </w:p>
    <w:p w:rsidR="008D2A61" w:rsidRPr="00AD0D85" w:rsidRDefault="008D2A61" w:rsidP="0073777B">
      <w:pPr>
        <w:keepNext/>
        <w:jc w:val="center"/>
        <w:rPr>
          <w:b/>
          <w:szCs w:val="22"/>
        </w:rPr>
      </w:pPr>
    </w:p>
    <w:p w:rsidR="008D2A61" w:rsidRPr="00AD0D85" w:rsidRDefault="008D2A61" w:rsidP="0073777B">
      <w:pPr>
        <w:keepNext/>
        <w:jc w:val="center"/>
        <w:rPr>
          <w:b/>
          <w:szCs w:val="22"/>
        </w:rPr>
      </w:pPr>
    </w:p>
    <w:p w:rsidR="0073777B" w:rsidRPr="00AD0D85" w:rsidRDefault="0073777B" w:rsidP="008D2A61">
      <w:pPr>
        <w:shd w:val="clear" w:color="auto" w:fill="FFFFFF" w:themeFill="background1"/>
        <w:rPr>
          <w:i/>
          <w:szCs w:val="22"/>
        </w:rPr>
      </w:pPr>
      <w:r w:rsidRPr="00AD0D85">
        <w:rPr>
          <w:szCs w:val="22"/>
        </w:rPr>
        <w:t xml:space="preserve">The annual estimated operational cost for the </w:t>
      </w:r>
      <w:r w:rsidR="00DC1ABC" w:rsidRPr="00AD0D85">
        <w:rPr>
          <w:szCs w:val="22"/>
        </w:rPr>
        <w:t>LGBT Resource Center</w:t>
      </w:r>
      <w:r w:rsidR="008D2A61" w:rsidRPr="00AD0D85">
        <w:rPr>
          <w:szCs w:val="22"/>
        </w:rPr>
        <w:t xml:space="preserve"> is $50,000</w:t>
      </w:r>
      <w:r w:rsidRPr="00AD0D85">
        <w:rPr>
          <w:szCs w:val="22"/>
        </w:rPr>
        <w:t xml:space="preserve">. This includes salaries for a </w:t>
      </w:r>
      <w:r w:rsidR="00615858" w:rsidRPr="00AD0D85">
        <w:rPr>
          <w:szCs w:val="22"/>
        </w:rPr>
        <w:t xml:space="preserve">three-quarter-time </w:t>
      </w:r>
      <w:r w:rsidRPr="00AD0D85">
        <w:rPr>
          <w:szCs w:val="22"/>
        </w:rPr>
        <w:t xml:space="preserve">center administrator and hourly support staff, as well as </w:t>
      </w:r>
      <w:r w:rsidR="00DC1ABC" w:rsidRPr="00AD0D85">
        <w:rPr>
          <w:szCs w:val="22"/>
        </w:rPr>
        <w:t>course development grants</w:t>
      </w:r>
      <w:r w:rsidRPr="00AD0D85">
        <w:rPr>
          <w:szCs w:val="22"/>
        </w:rPr>
        <w:t xml:space="preserve">. Costs for the center will be provided out of a quasi-endowment fund. It is anticipated the Center will seek other outside funds to help offset some of the costs. </w:t>
      </w:r>
      <w:r w:rsidR="00615858" w:rsidRPr="00AD0D85">
        <w:rPr>
          <w:szCs w:val="22"/>
        </w:rPr>
        <w:t xml:space="preserve">This will allow an expansion of the budget and associated activities. </w:t>
      </w:r>
      <w:r w:rsidR="00DC1ABC" w:rsidRPr="00AD0D85">
        <w:rPr>
          <w:szCs w:val="22"/>
        </w:rPr>
        <w:t xml:space="preserve">The </w:t>
      </w:r>
      <w:r w:rsidR="00615858" w:rsidRPr="00AD0D85">
        <w:rPr>
          <w:szCs w:val="22"/>
        </w:rPr>
        <w:t xml:space="preserve">existing </w:t>
      </w:r>
      <w:r w:rsidR="00DC1ABC" w:rsidRPr="00AD0D85">
        <w:rPr>
          <w:szCs w:val="22"/>
        </w:rPr>
        <w:t>quasi-endowment</w:t>
      </w:r>
      <w:r w:rsidRPr="00AD0D85">
        <w:rPr>
          <w:szCs w:val="22"/>
        </w:rPr>
        <w:t xml:space="preserve"> is positioned to continue the same level of support as needed if other funds do not come forward. </w:t>
      </w:r>
    </w:p>
    <w:p w:rsidR="0073777B" w:rsidRPr="000F4C86" w:rsidRDefault="0073777B" w:rsidP="0073777B">
      <w:pPr>
        <w:rPr>
          <w:i/>
          <w:sz w:val="24"/>
        </w:rPr>
      </w:pPr>
    </w:p>
    <w:p w:rsidR="002A4BE2" w:rsidRPr="000F4C86" w:rsidRDefault="00D26C51">
      <w:pPr>
        <w:rPr>
          <w:sz w:val="24"/>
        </w:rPr>
      </w:pPr>
    </w:p>
    <w:sectPr w:rsidR="002A4BE2" w:rsidRPr="000F4C86" w:rsidSect="007A08C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51" w:rsidRDefault="00D26C51" w:rsidP="0073777B">
      <w:r>
        <w:separator/>
      </w:r>
    </w:p>
  </w:endnote>
  <w:endnote w:type="continuationSeparator" w:id="0">
    <w:p w:rsidR="00D26C51" w:rsidRDefault="00D26C51" w:rsidP="0073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51" w:rsidRDefault="00D26C51" w:rsidP="0073777B">
      <w:r>
        <w:separator/>
      </w:r>
    </w:p>
  </w:footnote>
  <w:footnote w:type="continuationSeparator" w:id="0">
    <w:p w:rsidR="00D26C51" w:rsidRDefault="00D26C51" w:rsidP="0073777B">
      <w:r>
        <w:continuationSeparator/>
      </w:r>
    </w:p>
  </w:footnote>
  <w:footnote w:id="1">
    <w:p w:rsidR="0073777B" w:rsidRPr="00174472" w:rsidRDefault="0073777B" w:rsidP="0073777B">
      <w:pPr>
        <w:pStyle w:val="FootnoteText"/>
        <w:rPr>
          <w:sz w:val="16"/>
          <w:szCs w:val="16"/>
        </w:rPr>
      </w:pPr>
      <w:r w:rsidRPr="00174472">
        <w:rPr>
          <w:rStyle w:val="FootnoteReference"/>
          <w:sz w:val="16"/>
          <w:szCs w:val="16"/>
        </w:rPr>
        <w:footnoteRef/>
      </w:r>
      <w:r w:rsidRPr="00174472">
        <w:rPr>
          <w:sz w:val="16"/>
          <w:szCs w:val="16"/>
        </w:rPr>
        <w:t xml:space="preserve"> CIP codes </w:t>
      </w:r>
      <w:r w:rsidRPr="00174472">
        <w:rPr>
          <w:sz w:val="16"/>
          <w:szCs w:val="16"/>
          <w:u w:val="single"/>
        </w:rPr>
        <w:t>must</w:t>
      </w:r>
      <w:r w:rsidRPr="00174472">
        <w:rPr>
          <w:sz w:val="16"/>
          <w:szCs w:val="16"/>
        </w:rPr>
        <w:t xml:space="preserve"> be recommended by the submitting institution.  For CIP code classifications, please see </w:t>
      </w:r>
      <w:hyperlink r:id="rId1" w:history="1">
        <w:r w:rsidRPr="00174472">
          <w:rPr>
            <w:rStyle w:val="Hyperlink"/>
            <w:sz w:val="16"/>
            <w:szCs w:val="16"/>
          </w:rPr>
          <w:t>http://nces.ed.gov/ipeds/cipcode/Default.aspx?y=55</w:t>
        </w:r>
      </w:hyperlink>
      <w:r w:rsidRPr="00174472">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90151E"/>
    <w:lvl w:ilvl="0">
      <w:numFmt w:val="bullet"/>
      <w:lvlText w:val="*"/>
      <w:lvlJc w:val="left"/>
    </w:lvl>
  </w:abstractNum>
  <w:abstractNum w:abstractNumId="1">
    <w:nsid w:val="259F0D5E"/>
    <w:multiLevelType w:val="hybridMultilevel"/>
    <w:tmpl w:val="FD3E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16510"/>
    <w:multiLevelType w:val="hybridMultilevel"/>
    <w:tmpl w:val="EEA8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E0CF9"/>
    <w:multiLevelType w:val="multilevel"/>
    <w:tmpl w:val="CC74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84FAD"/>
    <w:multiLevelType w:val="hybridMultilevel"/>
    <w:tmpl w:val="A8D8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31E8A"/>
    <w:multiLevelType w:val="hybridMultilevel"/>
    <w:tmpl w:val="EE24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A7939"/>
    <w:multiLevelType w:val="hybridMultilevel"/>
    <w:tmpl w:val="928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E6AE9"/>
    <w:multiLevelType w:val="hybridMultilevel"/>
    <w:tmpl w:val="7E64245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7B"/>
    <w:rsid w:val="000D2DBD"/>
    <w:rsid w:val="000D648C"/>
    <w:rsid w:val="000F4C86"/>
    <w:rsid w:val="00122259"/>
    <w:rsid w:val="002915AC"/>
    <w:rsid w:val="002B77CD"/>
    <w:rsid w:val="00303D84"/>
    <w:rsid w:val="0043734D"/>
    <w:rsid w:val="00484CB2"/>
    <w:rsid w:val="004C7D44"/>
    <w:rsid w:val="004D380E"/>
    <w:rsid w:val="005227C9"/>
    <w:rsid w:val="00547FB7"/>
    <w:rsid w:val="005C6901"/>
    <w:rsid w:val="00615858"/>
    <w:rsid w:val="0067441A"/>
    <w:rsid w:val="006F626B"/>
    <w:rsid w:val="0073777B"/>
    <w:rsid w:val="00752BA7"/>
    <w:rsid w:val="00781402"/>
    <w:rsid w:val="00782925"/>
    <w:rsid w:val="007A1E33"/>
    <w:rsid w:val="007A4986"/>
    <w:rsid w:val="007F1EAA"/>
    <w:rsid w:val="008A0D41"/>
    <w:rsid w:val="008D0308"/>
    <w:rsid w:val="008D2A61"/>
    <w:rsid w:val="009353A7"/>
    <w:rsid w:val="009650A6"/>
    <w:rsid w:val="00981B3E"/>
    <w:rsid w:val="009A56A9"/>
    <w:rsid w:val="009D7902"/>
    <w:rsid w:val="009E1C01"/>
    <w:rsid w:val="00A5788E"/>
    <w:rsid w:val="00A60840"/>
    <w:rsid w:val="00AC61D6"/>
    <w:rsid w:val="00AD0D85"/>
    <w:rsid w:val="00C27B5B"/>
    <w:rsid w:val="00D26C51"/>
    <w:rsid w:val="00D31EAA"/>
    <w:rsid w:val="00D87D9F"/>
    <w:rsid w:val="00DA7B18"/>
    <w:rsid w:val="00DB4496"/>
    <w:rsid w:val="00DC1ABC"/>
    <w:rsid w:val="00E05F55"/>
    <w:rsid w:val="00E654C9"/>
    <w:rsid w:val="00EA6429"/>
    <w:rsid w:val="00ED29C8"/>
    <w:rsid w:val="00F14C4E"/>
    <w:rsid w:val="00FD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7B"/>
    <w:pPr>
      <w:spacing w:after="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77B"/>
    <w:rPr>
      <w:rFonts w:ascii="Arial Narrow" w:hAnsi="Arial Narrow" w:cs="Arial" w:hint="default"/>
      <w:color w:val="4F81BD" w:themeColor="accent1"/>
      <w:sz w:val="20"/>
      <w:szCs w:val="13"/>
      <w:u w:val="none"/>
    </w:rPr>
  </w:style>
  <w:style w:type="paragraph" w:styleId="FootnoteText">
    <w:name w:val="footnote text"/>
    <w:basedOn w:val="Normal"/>
    <w:link w:val="FootnoteTextChar"/>
    <w:uiPriority w:val="99"/>
    <w:rsid w:val="0073777B"/>
    <w:rPr>
      <w:sz w:val="18"/>
      <w:szCs w:val="20"/>
    </w:rPr>
  </w:style>
  <w:style w:type="character" w:customStyle="1" w:styleId="FootnoteTextChar">
    <w:name w:val="Footnote Text Char"/>
    <w:basedOn w:val="DefaultParagraphFont"/>
    <w:link w:val="FootnoteText"/>
    <w:uiPriority w:val="99"/>
    <w:rsid w:val="0073777B"/>
    <w:rPr>
      <w:rFonts w:ascii="Arial Narrow" w:eastAsia="Times New Roman" w:hAnsi="Arial Narrow" w:cs="Times New Roman"/>
      <w:sz w:val="18"/>
      <w:szCs w:val="20"/>
    </w:rPr>
  </w:style>
  <w:style w:type="character" w:styleId="FootnoteReference">
    <w:name w:val="footnote reference"/>
    <w:basedOn w:val="DefaultParagraphFont"/>
    <w:uiPriority w:val="99"/>
    <w:rsid w:val="0073777B"/>
    <w:rPr>
      <w:rFonts w:ascii="Arial Narrow" w:hAnsi="Arial Narrow"/>
      <w:vertAlign w:val="superscript"/>
    </w:rPr>
  </w:style>
  <w:style w:type="paragraph" w:styleId="Header">
    <w:name w:val="header"/>
    <w:basedOn w:val="Normal"/>
    <w:link w:val="HeaderChar"/>
    <w:rsid w:val="0073777B"/>
    <w:pPr>
      <w:tabs>
        <w:tab w:val="center" w:pos="4320"/>
        <w:tab w:val="right" w:pos="8640"/>
      </w:tabs>
    </w:pPr>
    <w:rPr>
      <w:szCs w:val="20"/>
    </w:rPr>
  </w:style>
  <w:style w:type="character" w:customStyle="1" w:styleId="HeaderChar">
    <w:name w:val="Header Char"/>
    <w:basedOn w:val="DefaultParagraphFont"/>
    <w:link w:val="Header"/>
    <w:rsid w:val="0073777B"/>
    <w:rPr>
      <w:rFonts w:ascii="Arial Narrow" w:eastAsia="Times New Roman" w:hAnsi="Arial Narrow" w:cs="Times New Roman"/>
      <w:szCs w:val="20"/>
    </w:rPr>
  </w:style>
  <w:style w:type="table" w:styleId="TableGrid">
    <w:name w:val="Table Grid"/>
    <w:basedOn w:val="TableNormal"/>
    <w:uiPriority w:val="59"/>
    <w:rsid w:val="00737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77B"/>
    <w:pPr>
      <w:ind w:left="720"/>
      <w:contextualSpacing/>
    </w:pPr>
  </w:style>
  <w:style w:type="paragraph" w:customStyle="1" w:styleId="Level1">
    <w:name w:val="Level 1"/>
    <w:uiPriority w:val="99"/>
    <w:rsid w:val="0043734D"/>
    <w:pPr>
      <w:autoSpaceDE w:val="0"/>
      <w:autoSpaceDN w:val="0"/>
      <w:adjustRightInd w:val="0"/>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7B"/>
    <w:pPr>
      <w:spacing w:after="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77B"/>
    <w:rPr>
      <w:rFonts w:ascii="Arial Narrow" w:hAnsi="Arial Narrow" w:cs="Arial" w:hint="default"/>
      <w:color w:val="4F81BD" w:themeColor="accent1"/>
      <w:sz w:val="20"/>
      <w:szCs w:val="13"/>
      <w:u w:val="none"/>
    </w:rPr>
  </w:style>
  <w:style w:type="paragraph" w:styleId="FootnoteText">
    <w:name w:val="footnote text"/>
    <w:basedOn w:val="Normal"/>
    <w:link w:val="FootnoteTextChar"/>
    <w:uiPriority w:val="99"/>
    <w:rsid w:val="0073777B"/>
    <w:rPr>
      <w:sz w:val="18"/>
      <w:szCs w:val="20"/>
    </w:rPr>
  </w:style>
  <w:style w:type="character" w:customStyle="1" w:styleId="FootnoteTextChar">
    <w:name w:val="Footnote Text Char"/>
    <w:basedOn w:val="DefaultParagraphFont"/>
    <w:link w:val="FootnoteText"/>
    <w:uiPriority w:val="99"/>
    <w:rsid w:val="0073777B"/>
    <w:rPr>
      <w:rFonts w:ascii="Arial Narrow" w:eastAsia="Times New Roman" w:hAnsi="Arial Narrow" w:cs="Times New Roman"/>
      <w:sz w:val="18"/>
      <w:szCs w:val="20"/>
    </w:rPr>
  </w:style>
  <w:style w:type="character" w:styleId="FootnoteReference">
    <w:name w:val="footnote reference"/>
    <w:basedOn w:val="DefaultParagraphFont"/>
    <w:uiPriority w:val="99"/>
    <w:rsid w:val="0073777B"/>
    <w:rPr>
      <w:rFonts w:ascii="Arial Narrow" w:hAnsi="Arial Narrow"/>
      <w:vertAlign w:val="superscript"/>
    </w:rPr>
  </w:style>
  <w:style w:type="paragraph" w:styleId="Header">
    <w:name w:val="header"/>
    <w:basedOn w:val="Normal"/>
    <w:link w:val="HeaderChar"/>
    <w:rsid w:val="0073777B"/>
    <w:pPr>
      <w:tabs>
        <w:tab w:val="center" w:pos="4320"/>
        <w:tab w:val="right" w:pos="8640"/>
      </w:tabs>
    </w:pPr>
    <w:rPr>
      <w:szCs w:val="20"/>
    </w:rPr>
  </w:style>
  <w:style w:type="character" w:customStyle="1" w:styleId="HeaderChar">
    <w:name w:val="Header Char"/>
    <w:basedOn w:val="DefaultParagraphFont"/>
    <w:link w:val="Header"/>
    <w:rsid w:val="0073777B"/>
    <w:rPr>
      <w:rFonts w:ascii="Arial Narrow" w:eastAsia="Times New Roman" w:hAnsi="Arial Narrow" w:cs="Times New Roman"/>
      <w:szCs w:val="20"/>
    </w:rPr>
  </w:style>
  <w:style w:type="table" w:styleId="TableGrid">
    <w:name w:val="Table Grid"/>
    <w:basedOn w:val="TableNormal"/>
    <w:uiPriority w:val="59"/>
    <w:rsid w:val="00737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77B"/>
    <w:pPr>
      <w:ind w:left="720"/>
      <w:contextualSpacing/>
    </w:pPr>
  </w:style>
  <w:style w:type="paragraph" w:customStyle="1" w:styleId="Level1">
    <w:name w:val="Level 1"/>
    <w:uiPriority w:val="99"/>
    <w:rsid w:val="0043734D"/>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115B5-C20D-4679-8A38-96828B5D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adriennegillespie</dc:creator>
  <cp:lastModifiedBy>bstockberger</cp:lastModifiedBy>
  <cp:revision>2</cp:revision>
  <cp:lastPrinted>2013-09-06T15:33:00Z</cp:lastPrinted>
  <dcterms:created xsi:type="dcterms:W3CDTF">2013-11-15T17:40:00Z</dcterms:created>
  <dcterms:modified xsi:type="dcterms:W3CDTF">2013-11-15T17:40:00Z</dcterms:modified>
</cp:coreProperties>
</file>