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41" w:rsidRDefault="00715041" w:rsidP="00715041">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715041" w:rsidRDefault="006B58F5" w:rsidP="00715041">
      <w:pPr>
        <w:pStyle w:val="NormalWeb"/>
        <w:spacing w:before="150" w:beforeAutospacing="0" w:after="150" w:afterAutospacing="0"/>
        <w:ind w:left="150" w:right="150"/>
        <w:rPr>
          <w:rFonts w:ascii="Arial" w:hAnsi="Arial" w:cs="Arial"/>
          <w:color w:val="000000"/>
          <w:sz w:val="20"/>
          <w:szCs w:val="20"/>
        </w:rPr>
      </w:pPr>
      <w:hyperlink r:id="rId5" w:history="1">
        <w:r w:rsidR="00715041">
          <w:rPr>
            <w:rStyle w:val="Hyperlink"/>
            <w:rFonts w:ascii="Arial" w:hAnsi="Arial" w:cs="Arial"/>
            <w:color w:val="532E63"/>
            <w:sz w:val="20"/>
            <w:szCs w:val="20"/>
          </w:rPr>
          <w:t>List of all proposals</w:t>
        </w:r>
      </w:hyperlink>
      <w:r w:rsidR="00715041">
        <w:rPr>
          <w:rFonts w:ascii="Arial" w:hAnsi="Arial" w:cs="Arial"/>
          <w:color w:val="000000"/>
          <w:sz w:val="20"/>
          <w:szCs w:val="20"/>
        </w:rPr>
        <w:t> </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Name:Dramaturgy</w:t>
      </w:r>
      <w:proofErr w:type="spellEnd"/>
      <w:r>
        <w:rPr>
          <w:rFonts w:ascii="Arial" w:hAnsi="Arial" w:cs="Arial"/>
          <w:color w:val="000000"/>
          <w:sz w:val="20"/>
          <w:szCs w:val="20"/>
        </w:rPr>
        <w:t xml:space="preserve"> and Criticism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2330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715041" w:rsidTr="00715041">
        <w:tc>
          <w:tcPr>
            <w:tcW w:w="0" w:type="auto"/>
            <w:tcBorders>
              <w:top w:val="nil"/>
              <w:left w:val="nil"/>
              <w:bottom w:val="nil"/>
              <w:right w:val="nil"/>
            </w:tcBorders>
            <w:vAlign w:val="center"/>
            <w:hideMark/>
          </w:tcPr>
          <w:p w:rsidR="00715041" w:rsidRDefault="00715041">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715041" w:rsidRDefault="00715041">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715041" w:rsidRDefault="00715041" w:rsidP="00715041">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715041" w:rsidTr="00715041">
        <w:tc>
          <w:tcPr>
            <w:tcW w:w="0" w:type="auto"/>
            <w:tcBorders>
              <w:top w:val="nil"/>
              <w:left w:val="nil"/>
              <w:bottom w:val="nil"/>
              <w:right w:val="nil"/>
            </w:tcBorders>
            <w:vAlign w:val="center"/>
            <w:hideMark/>
          </w:tcPr>
          <w:p w:rsidR="00715041" w:rsidRDefault="00715041">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715041" w:rsidRDefault="00715041">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2330</w:t>
            </w:r>
          </w:p>
        </w:tc>
        <w:tc>
          <w:tcPr>
            <w:tcW w:w="0" w:type="auto"/>
            <w:tcBorders>
              <w:top w:val="nil"/>
              <w:left w:val="nil"/>
              <w:bottom w:val="nil"/>
              <w:right w:val="nil"/>
            </w:tcBorders>
            <w:vAlign w:val="center"/>
            <w:hideMark/>
          </w:tcPr>
          <w:p w:rsidR="00715041" w:rsidRDefault="00715041">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715041" w:rsidRDefault="00715041" w:rsidP="00715041">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Dramaturgy and Criticism</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Dramaturgy</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715041" w:rsidTr="00715041">
        <w:trPr>
          <w:tblCellSpacing w:w="0" w:type="dxa"/>
        </w:trPr>
        <w:tc>
          <w:tcPr>
            <w:tcW w:w="0" w:type="auto"/>
            <w:hideMark/>
          </w:tcPr>
          <w:p w:rsidR="00715041" w:rsidRDefault="00715041">
            <w:pPr>
              <w:rPr>
                <w:sz w:val="20"/>
                <w:szCs w:val="20"/>
              </w:rPr>
            </w:pPr>
            <w:r>
              <w:rPr>
                <w:rFonts w:ascii="Arial" w:hAnsi="Arial" w:cs="Arial"/>
                <w:sz w:val="20"/>
                <w:szCs w:val="20"/>
              </w:rPr>
              <w:t>Course Type:</w:t>
            </w:r>
            <w:r>
              <w:rPr>
                <w:sz w:val="20"/>
                <w:szCs w:val="20"/>
              </w:rPr>
              <w:t> </w:t>
            </w:r>
          </w:p>
        </w:tc>
        <w:tc>
          <w:tcPr>
            <w:tcW w:w="0" w:type="auto"/>
            <w:vAlign w:val="center"/>
            <w:hideMark/>
          </w:tcPr>
          <w:p w:rsidR="00715041" w:rsidRDefault="00715041">
            <w:pPr>
              <w:rPr>
                <w:sz w:val="20"/>
                <w:szCs w:val="20"/>
              </w:rPr>
            </w:pPr>
            <w:r>
              <w:rPr>
                <w:sz w:val="20"/>
                <w:szCs w:val="20"/>
              </w:rPr>
              <w:t>LEC</w:t>
            </w:r>
          </w:p>
        </w:tc>
      </w:tr>
    </w:tbl>
    <w:p w:rsidR="00715041" w:rsidRDefault="00715041" w:rsidP="00715041">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715041" w:rsidRDefault="00715041" w:rsidP="00715041">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715041" w:rsidRDefault="00715041" w:rsidP="00715041">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1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6 </w:t>
      </w:r>
    </w:p>
    <w:p w:rsidR="00715041" w:rsidRDefault="00715041" w:rsidP="00715041">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715041" w:rsidTr="00715041">
        <w:tc>
          <w:tcPr>
            <w:tcW w:w="0" w:type="auto"/>
            <w:tcBorders>
              <w:top w:val="nil"/>
              <w:left w:val="nil"/>
              <w:bottom w:val="nil"/>
              <w:right w:val="nil"/>
            </w:tcBorders>
            <w:hideMark/>
          </w:tcPr>
          <w:p w:rsidR="00715041" w:rsidRDefault="00715041">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715041" w:rsidRDefault="00715041">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715041" w:rsidRDefault="00715041" w:rsidP="00715041">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715041" w:rsidRDefault="00715041" w:rsidP="00715041">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This course will be a practical study of the role and duties of a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in a production as well as a critic reviewing a finished work. Work will include all facets of dramaturgy: historical research, script analysis, audience outreach, and lobby displays. A completed Dramaturgy workbook for a proposed play or practical work on a department play will be the final assignment.</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715041" w:rsidRDefault="00715041" w:rsidP="0071504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Dramaturgy and literary management is a fast growing field in the world of theatre. Many theatres are hiring </w:t>
      </w:r>
      <w:proofErr w:type="spellStart"/>
      <w:r>
        <w:rPr>
          <w:rFonts w:ascii="Arial" w:hAnsi="Arial" w:cs="Arial"/>
          <w:color w:val="000000"/>
          <w:sz w:val="20"/>
          <w:szCs w:val="20"/>
        </w:rPr>
        <w:t>dramaturgs</w:t>
      </w:r>
      <w:proofErr w:type="spellEnd"/>
      <w:r>
        <w:rPr>
          <w:rFonts w:ascii="Arial" w:hAnsi="Arial" w:cs="Arial"/>
          <w:color w:val="000000"/>
          <w:sz w:val="20"/>
          <w:szCs w:val="20"/>
        </w:rPr>
        <w:t xml:space="preserve"> to work on both new and existing productions. On an existing work, a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functions as the "scholar" for a production, providing the director and cast with historical research on the time period of the play, the author of the play, and the play's production history. This works helps the play be both historically accurate and to address any re-</w:t>
      </w:r>
      <w:proofErr w:type="spellStart"/>
      <w:r>
        <w:rPr>
          <w:rFonts w:ascii="Arial" w:hAnsi="Arial" w:cs="Arial"/>
          <w:color w:val="000000"/>
          <w:sz w:val="20"/>
          <w:szCs w:val="20"/>
        </w:rPr>
        <w:t>occuring</w:t>
      </w:r>
      <w:proofErr w:type="spellEnd"/>
      <w:r>
        <w:rPr>
          <w:rFonts w:ascii="Arial" w:hAnsi="Arial" w:cs="Arial"/>
          <w:color w:val="000000"/>
          <w:sz w:val="20"/>
          <w:szCs w:val="20"/>
        </w:rPr>
        <w:t xml:space="preserve"> issues with the play on stage. On a new work, a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works with a playwright as a sort of editor. He or she reads drafts of the play and asks the playwright questions to help them refine and perfect the script.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Importantly, a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also works on audience outreach. It is the </w:t>
      </w:r>
      <w:proofErr w:type="spellStart"/>
      <w:r>
        <w:rPr>
          <w:rFonts w:ascii="Arial" w:hAnsi="Arial" w:cs="Arial"/>
          <w:color w:val="000000"/>
          <w:sz w:val="20"/>
          <w:szCs w:val="20"/>
        </w:rPr>
        <w:t>dramaturg's</w:t>
      </w:r>
      <w:proofErr w:type="spellEnd"/>
      <w:r>
        <w:rPr>
          <w:rFonts w:ascii="Arial" w:hAnsi="Arial" w:cs="Arial"/>
          <w:color w:val="000000"/>
          <w:sz w:val="20"/>
          <w:szCs w:val="20"/>
        </w:rPr>
        <w:t xml:space="preserve"> job to create a study guide for audiences to help them have context for the production. It is also their job to create a lobby display that informs audiences about the production or the work that went into it. In this way the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serves as a bridge between the world backstage and the world of the audience. Finally, a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often hosts talkbacks where he or she facilitates the audience in asking questions about the play and the process and allows the cast to ask the audience what was clear or was not clear. All of these make for a more informed audience and build audience theatre relationships.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Weber State University does not currently have a class that covers dramaturgy. This class will first be a benefit for our students academically and professionally. It will offer them experience in another theatrical career path and it will be beneficial for future directors, historians, writers, and actors in examining the play from a different perspective and continuing to work on their research and communication skills. Secondly and more immediately, it will also benefit our productions. If we had trained </w:t>
      </w:r>
      <w:proofErr w:type="spellStart"/>
      <w:r>
        <w:rPr>
          <w:rFonts w:ascii="Arial" w:hAnsi="Arial" w:cs="Arial"/>
          <w:color w:val="000000"/>
          <w:sz w:val="20"/>
          <w:szCs w:val="20"/>
        </w:rPr>
        <w:t>dramaturgs</w:t>
      </w:r>
      <w:proofErr w:type="spellEnd"/>
      <w:r>
        <w:rPr>
          <w:rFonts w:ascii="Arial" w:hAnsi="Arial" w:cs="Arial"/>
          <w:color w:val="000000"/>
          <w:sz w:val="20"/>
          <w:szCs w:val="20"/>
        </w:rPr>
        <w:t xml:space="preserve"> in the department working on productions, they would gain in richness and depth. We will also work on audience development and connecting with the local community to improve our attendance.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In addition to dramaturgy, students will also use critical thinking, research, and writing skills to look at theatrical criticism. Though theatres depend upon reviews, reviewers are often untrained or unskilled. A good review understands the play and the time period it was from and analyzes whether the play was successful or not at doing what it is attempting to do. Reviews in local newspapers or blogs often consist more of whether or not the reviewer "liked the performance." As reviews are crucial for giving theatre practitioners valuable feedback and for providing an archive of a production, it is important to train future critics to be effective and skilled at their jobs.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This class has been taught once as an experimental course and was very successful. The students who took the class went on to work on productions and to do much better and more useful dramaturgy. In addition, one student who took the class secured employment as the resident </w:t>
      </w:r>
      <w:proofErr w:type="spellStart"/>
      <w:r>
        <w:rPr>
          <w:rFonts w:ascii="Arial" w:hAnsi="Arial" w:cs="Arial"/>
          <w:color w:val="000000"/>
          <w:sz w:val="20"/>
          <w:szCs w:val="20"/>
        </w:rPr>
        <w:t>dramaturg</w:t>
      </w:r>
      <w:proofErr w:type="spellEnd"/>
      <w:r>
        <w:rPr>
          <w:rFonts w:ascii="Arial" w:hAnsi="Arial" w:cs="Arial"/>
          <w:color w:val="000000"/>
          <w:sz w:val="20"/>
          <w:szCs w:val="20"/>
        </w:rPr>
        <w:t xml:space="preserve"> for a theatre company.</w:t>
      </w:r>
      <w:r>
        <w:rPr>
          <w:rStyle w:val="apple-converted-space"/>
          <w:rFonts w:ascii="Arial" w:hAnsi="Arial" w:cs="Arial"/>
          <w:color w:val="000000"/>
          <w:sz w:val="20"/>
          <w:szCs w:val="20"/>
        </w:rPr>
        <w:t> </w:t>
      </w:r>
      <w:r>
        <w:rPr>
          <w:rFonts w:ascii="Arial" w:hAnsi="Arial" w:cs="Arial"/>
          <w:color w:val="000000"/>
          <w:sz w:val="20"/>
          <w:szCs w:val="20"/>
        </w:rPr>
        <w:br/>
      </w:r>
    </w:p>
    <w:p w:rsidR="000847B2" w:rsidRDefault="000847B2" w:rsidP="00715041">
      <w:pPr>
        <w:pStyle w:val="NormalWeb"/>
        <w:spacing w:before="150" w:beforeAutospacing="0" w:after="150" w:afterAutospacing="0"/>
        <w:ind w:left="150" w:right="150"/>
        <w:rPr>
          <w:rFonts w:ascii="Arial" w:hAnsi="Arial" w:cs="Arial"/>
          <w:color w:val="000000"/>
          <w:sz w:val="20"/>
          <w:szCs w:val="20"/>
        </w:rPr>
      </w:pPr>
    </w:p>
    <w:p w:rsidR="000847B2" w:rsidRDefault="000847B2" w:rsidP="00715041">
      <w:pPr>
        <w:pStyle w:val="NormalWeb"/>
        <w:spacing w:before="150" w:beforeAutospacing="0" w:after="150" w:afterAutospacing="0"/>
        <w:ind w:left="150" w:right="150"/>
        <w:rPr>
          <w:rFonts w:ascii="Arial" w:hAnsi="Arial" w:cs="Arial"/>
          <w:color w:val="000000"/>
          <w:sz w:val="20"/>
          <w:szCs w:val="20"/>
        </w:rPr>
      </w:pPr>
    </w:p>
    <w:p w:rsidR="00715041" w:rsidRDefault="00715041" w:rsidP="00715041">
      <w:pPr>
        <w:pStyle w:val="NormalWeb"/>
        <w:jc w:val="center"/>
        <w:rPr>
          <w:color w:val="000000"/>
          <w:sz w:val="20"/>
          <w:szCs w:val="20"/>
        </w:rPr>
      </w:pPr>
      <w:r>
        <w:rPr>
          <w:b/>
          <w:bCs/>
          <w:color w:val="000000"/>
          <w:sz w:val="20"/>
          <w:szCs w:val="20"/>
        </w:rPr>
        <w:lastRenderedPageBreak/>
        <w:t>INFORMATION PAGE</w:t>
      </w:r>
      <w:r>
        <w:rPr>
          <w:b/>
          <w:bCs/>
          <w:color w:val="000000"/>
          <w:sz w:val="20"/>
          <w:szCs w:val="20"/>
        </w:rPr>
        <w:br/>
      </w:r>
      <w:r>
        <w:rPr>
          <w:color w:val="000000"/>
          <w:sz w:val="20"/>
          <w:szCs w:val="20"/>
        </w:rPr>
        <w:t>for substantive proposals only</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true</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 xml:space="preserve">This is an area of theatre production that can currently not be covered in any other class. Because jobs in theatre are specialized, there would be inadequate time to cover the many duties of a </w:t>
      </w:r>
      <w:proofErr w:type="spellStart"/>
      <w:r>
        <w:rPr>
          <w:color w:val="000000"/>
          <w:sz w:val="20"/>
          <w:szCs w:val="20"/>
        </w:rPr>
        <w:t>dramaturg</w:t>
      </w:r>
      <w:proofErr w:type="spellEnd"/>
      <w:r>
        <w:rPr>
          <w:color w:val="000000"/>
          <w:sz w:val="20"/>
          <w:szCs w:val="20"/>
        </w:rPr>
        <w:t xml:space="preserve"> and how they function in the theatre in another class. As we have separate classes for the technical and creative work required in acting, direction, costuming, playwriting, </w:t>
      </w:r>
      <w:proofErr w:type="spellStart"/>
      <w:r>
        <w:rPr>
          <w:color w:val="000000"/>
          <w:sz w:val="20"/>
          <w:szCs w:val="20"/>
        </w:rPr>
        <w:t>etc</w:t>
      </w:r>
      <w:proofErr w:type="spellEnd"/>
      <w:r>
        <w:rPr>
          <w:color w:val="000000"/>
          <w:sz w:val="20"/>
          <w:szCs w:val="20"/>
        </w:rPr>
        <w:t xml:space="preserve"> this is a separate job and skill set in the theatrical world.</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 xml:space="preserve">Although there is overlap in critical thinking, analysis, research, and presentation skills that are the core of a theatre degree, there is not currently a class that teaches dramaturgy or theatre criticism. As </w:t>
      </w:r>
      <w:proofErr w:type="spellStart"/>
      <w:r>
        <w:rPr>
          <w:color w:val="000000"/>
          <w:sz w:val="20"/>
          <w:szCs w:val="20"/>
        </w:rPr>
        <w:t>dramaturgs</w:t>
      </w:r>
      <w:proofErr w:type="spellEnd"/>
      <w:r>
        <w:rPr>
          <w:color w:val="000000"/>
          <w:sz w:val="20"/>
          <w:szCs w:val="20"/>
        </w:rPr>
        <w:t xml:space="preserve"> look at the construction and creation of new plays, the course will be of use in conjunction with Playwriting. As the course looks at the "scholarly" aspects of a production, it will be of use to directors and actors in fully examining plays for production. In this way it overlaps with Script Analysis. However, because the specific functions on a production are unique, it uses those skills to a different end.</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no</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715041" w:rsidRDefault="00715041" w:rsidP="00715041">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715041" w:rsidRDefault="00715041" w:rsidP="00715041">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715041" w:rsidRDefault="003D6DF4" w:rsidP="00715041"/>
    <w:sectPr w:rsidR="003D6DF4" w:rsidRPr="0071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847B2"/>
    <w:rsid w:val="000A5238"/>
    <w:rsid w:val="00306809"/>
    <w:rsid w:val="00352E17"/>
    <w:rsid w:val="003D6DF4"/>
    <w:rsid w:val="00543E56"/>
    <w:rsid w:val="005A5EA7"/>
    <w:rsid w:val="006B58F5"/>
    <w:rsid w:val="00715041"/>
    <w:rsid w:val="0077592C"/>
    <w:rsid w:val="007A19ED"/>
    <w:rsid w:val="008209B2"/>
    <w:rsid w:val="00830659"/>
    <w:rsid w:val="008A4AB2"/>
    <w:rsid w:val="00AD444D"/>
    <w:rsid w:val="00BB27C7"/>
    <w:rsid w:val="00D76891"/>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03610453">
      <w:bodyDiv w:val="1"/>
      <w:marLeft w:val="0"/>
      <w:marRight w:val="0"/>
      <w:marTop w:val="0"/>
      <w:marBottom w:val="0"/>
      <w:divBdr>
        <w:top w:val="none" w:sz="0" w:space="0" w:color="auto"/>
        <w:left w:val="none" w:sz="0" w:space="0" w:color="auto"/>
        <w:bottom w:val="none" w:sz="0" w:space="0" w:color="auto"/>
        <w:right w:val="none" w:sz="0" w:space="0" w:color="auto"/>
      </w:divBdr>
      <w:divsChild>
        <w:div w:id="1169715651">
          <w:marLeft w:val="0"/>
          <w:marRight w:val="0"/>
          <w:marTop w:val="0"/>
          <w:marBottom w:val="0"/>
          <w:divBdr>
            <w:top w:val="none" w:sz="0" w:space="0" w:color="auto"/>
            <w:left w:val="none" w:sz="0" w:space="0" w:color="auto"/>
            <w:bottom w:val="none" w:sz="0" w:space="0" w:color="auto"/>
            <w:right w:val="none" w:sz="0" w:space="0" w:color="auto"/>
          </w:divBdr>
          <w:divsChild>
            <w:div w:id="2505795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3326630">
      <w:bodyDiv w:val="1"/>
      <w:marLeft w:val="0"/>
      <w:marRight w:val="0"/>
      <w:marTop w:val="0"/>
      <w:marBottom w:val="0"/>
      <w:divBdr>
        <w:top w:val="none" w:sz="0" w:space="0" w:color="auto"/>
        <w:left w:val="none" w:sz="0" w:space="0" w:color="auto"/>
        <w:bottom w:val="none" w:sz="0" w:space="0" w:color="auto"/>
        <w:right w:val="none" w:sz="0" w:space="0" w:color="auto"/>
      </w:divBdr>
      <w:divsChild>
        <w:div w:id="1271015263">
          <w:marLeft w:val="0"/>
          <w:marRight w:val="0"/>
          <w:marTop w:val="0"/>
          <w:marBottom w:val="0"/>
          <w:divBdr>
            <w:top w:val="none" w:sz="0" w:space="0" w:color="auto"/>
            <w:left w:val="none" w:sz="0" w:space="0" w:color="auto"/>
            <w:bottom w:val="none" w:sz="0" w:space="0" w:color="auto"/>
            <w:right w:val="none" w:sz="0" w:space="0" w:color="auto"/>
          </w:divBdr>
          <w:divsChild>
            <w:div w:id="14151260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sChild>
        <w:div w:id="856575759">
          <w:marLeft w:val="0"/>
          <w:marRight w:val="0"/>
          <w:marTop w:val="0"/>
          <w:marBottom w:val="0"/>
          <w:divBdr>
            <w:top w:val="none" w:sz="0" w:space="0" w:color="auto"/>
            <w:left w:val="none" w:sz="0" w:space="0" w:color="auto"/>
            <w:bottom w:val="none" w:sz="0" w:space="0" w:color="auto"/>
            <w:right w:val="none" w:sz="0" w:space="0" w:color="auto"/>
          </w:divBdr>
          <w:divsChild>
            <w:div w:id="16254991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2014-01-22T19:43:00Z</dcterms:created>
  <dcterms:modified xsi:type="dcterms:W3CDTF">2014-01-22T19:43:00Z</dcterms:modified>
</cp:coreProperties>
</file>