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8E" w:rsidRDefault="00D85A8E" w:rsidP="00D85A8E">
      <w:pPr>
        <w:pStyle w:val="Heading1"/>
        <w:spacing w:before="0" w:beforeAutospacing="0" w:after="0" w:afterAutospacing="0"/>
        <w:rPr>
          <w:rFonts w:ascii="Arial" w:hAnsi="Arial" w:cs="Arial"/>
          <w:color w:val="532E63"/>
          <w:sz w:val="36"/>
          <w:szCs w:val="36"/>
        </w:rPr>
      </w:pPr>
      <w:bookmarkStart w:id="0" w:name="_GoBack"/>
      <w:bookmarkEnd w:id="0"/>
      <w:r>
        <w:rPr>
          <w:rFonts w:ascii="Arial" w:hAnsi="Arial" w:cs="Arial"/>
          <w:color w:val="532E63"/>
          <w:sz w:val="36"/>
          <w:szCs w:val="36"/>
        </w:rPr>
        <w:t>Course Proposals</w:t>
      </w:r>
    </w:p>
    <w:p w:rsidR="00D85A8E" w:rsidRDefault="00A50B45" w:rsidP="00D85A8E">
      <w:pPr>
        <w:pStyle w:val="NormalWeb"/>
        <w:spacing w:before="150" w:beforeAutospacing="0" w:after="150" w:afterAutospacing="0"/>
        <w:ind w:left="150" w:right="150"/>
        <w:rPr>
          <w:rFonts w:ascii="Arial" w:hAnsi="Arial" w:cs="Arial"/>
          <w:color w:val="000000"/>
          <w:sz w:val="20"/>
          <w:szCs w:val="20"/>
        </w:rPr>
      </w:pPr>
      <w:hyperlink r:id="rId5" w:history="1">
        <w:r w:rsidR="00D85A8E">
          <w:rPr>
            <w:rStyle w:val="Hyperlink"/>
            <w:rFonts w:ascii="Arial" w:hAnsi="Arial" w:cs="Arial"/>
            <w:color w:val="532E63"/>
            <w:sz w:val="20"/>
            <w:szCs w:val="20"/>
          </w:rPr>
          <w:t>List of all proposals</w:t>
        </w:r>
      </w:hyperlink>
      <w:r w:rsidR="00D85A8E">
        <w:rPr>
          <w:rFonts w:ascii="Arial" w:hAnsi="Arial" w:cs="Arial"/>
          <w:color w:val="000000"/>
          <w:sz w:val="20"/>
          <w:szCs w:val="20"/>
        </w:rPr>
        <w:t> </w:t>
      </w:r>
    </w:p>
    <w:p w:rsidR="00D85A8E" w:rsidRDefault="00D85A8E" w:rsidP="00D85A8E">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Name:Costume</w:t>
      </w:r>
      <w:proofErr w:type="spellEnd"/>
      <w:r>
        <w:rPr>
          <w:rFonts w:ascii="Arial" w:hAnsi="Arial" w:cs="Arial"/>
          <w:color w:val="000000"/>
          <w:sz w:val="20"/>
          <w:szCs w:val="20"/>
        </w:rPr>
        <w:t xml:space="preserve"> Fundamentals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2022</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 xml:space="preserve">Catherine </w:t>
      </w:r>
      <w:proofErr w:type="spellStart"/>
      <w:r>
        <w:rPr>
          <w:rFonts w:ascii="Arial" w:hAnsi="Arial" w:cs="Arial"/>
          <w:color w:val="000000"/>
          <w:sz w:val="20"/>
          <w:szCs w:val="20"/>
        </w:rPr>
        <w:t>Zublin</w:t>
      </w:r>
      <w:proofErr w:type="spellEnd"/>
      <w:r>
        <w:rPr>
          <w:rFonts w:ascii="Arial" w:hAnsi="Arial" w:cs="Arial"/>
          <w:color w:val="000000"/>
          <w:sz w:val="20"/>
          <w:szCs w:val="20"/>
        </w:rPr>
        <w:t>, czublin@weber.edu</w:t>
      </w:r>
    </w:p>
    <w:p w:rsidR="00D85A8E" w:rsidRDefault="00D85A8E" w:rsidP="00D85A8E">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1/3/2014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D85A8E" w:rsidRDefault="00D85A8E" w:rsidP="00D85A8E">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2331"/>
        <w:gridCol w:w="6093"/>
      </w:tblGrid>
      <w:tr w:rsidR="00D85A8E" w:rsidTr="00D85A8E">
        <w:tc>
          <w:tcPr>
            <w:tcW w:w="0" w:type="auto"/>
            <w:tcBorders>
              <w:top w:val="nil"/>
              <w:left w:val="nil"/>
              <w:bottom w:val="nil"/>
              <w:right w:val="nil"/>
            </w:tcBorders>
            <w:vAlign w:val="center"/>
            <w:hideMark/>
          </w:tcPr>
          <w:p w:rsidR="00D85A8E" w:rsidRDefault="00D85A8E">
            <w:pPr>
              <w:pStyle w:val="NormalWeb"/>
              <w:spacing w:before="150" w:beforeAutospacing="0" w:after="150" w:afterAutospacing="0"/>
              <w:ind w:left="150" w:right="150"/>
              <w:rPr>
                <w:sz w:val="20"/>
                <w:szCs w:val="20"/>
              </w:rPr>
            </w:pPr>
            <w:r>
              <w:rPr>
                <w:sz w:val="20"/>
                <w:szCs w:val="20"/>
              </w:rPr>
              <w:t>change </w:t>
            </w:r>
          </w:p>
        </w:tc>
        <w:tc>
          <w:tcPr>
            <w:tcW w:w="0" w:type="auto"/>
            <w:tcBorders>
              <w:top w:val="nil"/>
              <w:left w:val="nil"/>
              <w:bottom w:val="nil"/>
              <w:right w:val="nil"/>
            </w:tcBorders>
            <w:vAlign w:val="center"/>
            <w:hideMark/>
          </w:tcPr>
          <w:p w:rsidR="00D85A8E" w:rsidRDefault="00D85A8E">
            <w:pPr>
              <w:rPr>
                <w:sz w:val="20"/>
                <w:szCs w:val="20"/>
              </w:rPr>
            </w:pPr>
            <w:r>
              <w:rPr>
                <w:sz w:val="20"/>
                <w:szCs w:val="20"/>
              </w:rPr>
              <w:t>Current Course Subject</w:t>
            </w:r>
            <w:r>
              <w:rPr>
                <w:rStyle w:val="apple-converted-space"/>
                <w:sz w:val="20"/>
                <w:szCs w:val="20"/>
              </w:rPr>
              <w:t> </w:t>
            </w:r>
            <w:r>
              <w:rPr>
                <w:sz w:val="20"/>
                <w:szCs w:val="20"/>
              </w:rPr>
              <w:t>THEA</w:t>
            </w:r>
            <w:r>
              <w:rPr>
                <w:sz w:val="20"/>
                <w:szCs w:val="20"/>
              </w:rPr>
              <w:br/>
              <w:t>Current Course Number</w:t>
            </w:r>
            <w:r>
              <w:rPr>
                <w:rStyle w:val="apple-converted-space"/>
                <w:sz w:val="20"/>
                <w:szCs w:val="20"/>
              </w:rPr>
              <w:t> </w:t>
            </w:r>
            <w:r>
              <w:rPr>
                <w:sz w:val="20"/>
                <w:szCs w:val="20"/>
              </w:rPr>
              <w:t>2022</w:t>
            </w:r>
          </w:p>
        </w:tc>
      </w:tr>
    </w:tbl>
    <w:p w:rsidR="00D85A8E" w:rsidRDefault="00D85A8E" w:rsidP="00D85A8E">
      <w:pPr>
        <w:pStyle w:val="NormalWeb"/>
        <w:spacing w:before="0" w:after="0"/>
        <w:rPr>
          <w:rFonts w:ascii="Arial" w:hAnsi="Arial" w:cs="Arial"/>
          <w:color w:val="000000"/>
          <w:sz w:val="20"/>
          <w:szCs w:val="20"/>
        </w:rPr>
      </w:pPr>
      <w:r>
        <w:rPr>
          <w:rFonts w:ascii="Arial" w:hAnsi="Arial" w:cs="Arial"/>
          <w:color w:val="000000"/>
          <w:sz w:val="20"/>
          <w:szCs w:val="20"/>
        </w:rPr>
        <w:t xml:space="preserve">THEA 2022 - Stage Costume Credits: (2) Typically taught: Fall [1st </w:t>
      </w:r>
      <w:proofErr w:type="spellStart"/>
      <w:r>
        <w:rPr>
          <w:rFonts w:ascii="Arial" w:hAnsi="Arial" w:cs="Arial"/>
          <w:color w:val="000000"/>
          <w:sz w:val="20"/>
          <w:szCs w:val="20"/>
        </w:rPr>
        <w:t>Blk</w:t>
      </w:r>
      <w:proofErr w:type="spellEnd"/>
      <w:r>
        <w:rPr>
          <w:rFonts w:ascii="Arial" w:hAnsi="Arial" w:cs="Arial"/>
          <w:color w:val="000000"/>
          <w:sz w:val="20"/>
          <w:szCs w:val="20"/>
        </w:rPr>
        <w:t>] Introduction to stage costume: lecture/demonstration of basic materials, fabrics, costume construction methods, elementary design principles, costume history, research and procedures for theatrical costumes. Class meets the 1st block of fall semester.</w:t>
      </w:r>
    </w:p>
    <w:p w:rsidR="00D85A8E" w:rsidRDefault="00D85A8E" w:rsidP="00D85A8E">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D85A8E" w:rsidTr="00D85A8E">
        <w:tc>
          <w:tcPr>
            <w:tcW w:w="0" w:type="auto"/>
            <w:tcBorders>
              <w:top w:val="nil"/>
              <w:left w:val="nil"/>
              <w:bottom w:val="nil"/>
              <w:right w:val="nil"/>
            </w:tcBorders>
            <w:vAlign w:val="center"/>
            <w:hideMark/>
          </w:tcPr>
          <w:p w:rsidR="00D85A8E" w:rsidRDefault="00D85A8E">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D85A8E" w:rsidRDefault="00D85A8E">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2022</w:t>
            </w:r>
          </w:p>
        </w:tc>
        <w:tc>
          <w:tcPr>
            <w:tcW w:w="0" w:type="auto"/>
            <w:tcBorders>
              <w:top w:val="nil"/>
              <w:left w:val="nil"/>
              <w:bottom w:val="nil"/>
              <w:right w:val="nil"/>
            </w:tcBorders>
            <w:vAlign w:val="center"/>
            <w:hideMark/>
          </w:tcPr>
          <w:p w:rsidR="00D85A8E" w:rsidRDefault="00D85A8E">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D85A8E" w:rsidRDefault="00D85A8E" w:rsidP="00D85A8E">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Costume Fundamentals</w:t>
      </w:r>
    </w:p>
    <w:p w:rsidR="00D85A8E" w:rsidRDefault="00D85A8E" w:rsidP="00D85A8E">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Costume Fundamentals</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D85A8E" w:rsidTr="00D85A8E">
        <w:trPr>
          <w:tblCellSpacing w:w="0" w:type="dxa"/>
        </w:trPr>
        <w:tc>
          <w:tcPr>
            <w:tcW w:w="0" w:type="auto"/>
            <w:hideMark/>
          </w:tcPr>
          <w:p w:rsidR="00D85A8E" w:rsidRDefault="00D85A8E">
            <w:pPr>
              <w:rPr>
                <w:sz w:val="20"/>
                <w:szCs w:val="20"/>
              </w:rPr>
            </w:pPr>
            <w:r>
              <w:rPr>
                <w:rFonts w:ascii="Arial" w:hAnsi="Arial" w:cs="Arial"/>
                <w:sz w:val="20"/>
                <w:szCs w:val="20"/>
              </w:rPr>
              <w:t>Course Type:</w:t>
            </w:r>
            <w:r>
              <w:rPr>
                <w:sz w:val="20"/>
                <w:szCs w:val="20"/>
              </w:rPr>
              <w:t> </w:t>
            </w:r>
          </w:p>
        </w:tc>
        <w:tc>
          <w:tcPr>
            <w:tcW w:w="0" w:type="auto"/>
            <w:vAlign w:val="center"/>
            <w:hideMark/>
          </w:tcPr>
          <w:p w:rsidR="00D85A8E" w:rsidRDefault="00D85A8E">
            <w:pPr>
              <w:rPr>
                <w:sz w:val="20"/>
                <w:szCs w:val="20"/>
              </w:rPr>
            </w:pPr>
            <w:r>
              <w:rPr>
                <w:sz w:val="20"/>
                <w:szCs w:val="20"/>
              </w:rPr>
              <w:t>LEC</w:t>
            </w:r>
          </w:p>
        </w:tc>
      </w:tr>
    </w:tbl>
    <w:p w:rsidR="00D85A8E" w:rsidRDefault="00D85A8E" w:rsidP="00D85A8E">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D85A8E" w:rsidRDefault="00D85A8E" w:rsidP="00D85A8E">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D85A8E" w:rsidRDefault="00D85A8E" w:rsidP="00D85A8E">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0   Max Hrs</w:t>
      </w:r>
      <w:r>
        <w:rPr>
          <w:rStyle w:val="apple-converted-space"/>
          <w:rFonts w:ascii="Arial" w:hAnsi="Arial" w:cs="Arial"/>
          <w:color w:val="000000"/>
          <w:sz w:val="20"/>
          <w:szCs w:val="20"/>
        </w:rPr>
        <w:t> </w:t>
      </w:r>
      <w:r>
        <w:rPr>
          <w:rFonts w:ascii="Arial" w:hAnsi="Arial" w:cs="Arial"/>
          <w:color w:val="000000"/>
          <w:sz w:val="20"/>
          <w:szCs w:val="20"/>
        </w:rPr>
        <w:t>0 </w:t>
      </w:r>
    </w:p>
    <w:p w:rsidR="00D85A8E" w:rsidRDefault="00D85A8E" w:rsidP="00D85A8E">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D85A8E" w:rsidTr="00D85A8E">
        <w:tc>
          <w:tcPr>
            <w:tcW w:w="0" w:type="auto"/>
            <w:tcBorders>
              <w:top w:val="nil"/>
              <w:left w:val="nil"/>
              <w:bottom w:val="nil"/>
              <w:right w:val="nil"/>
            </w:tcBorders>
            <w:hideMark/>
          </w:tcPr>
          <w:p w:rsidR="00D85A8E" w:rsidRDefault="00D85A8E">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D85A8E" w:rsidRDefault="00D85A8E">
            <w:pPr>
              <w:rPr>
                <w:sz w:val="20"/>
                <w:szCs w:val="20"/>
              </w:rPr>
            </w:pPr>
            <w:r>
              <w:rPr>
                <w:sz w:val="20"/>
                <w:szCs w:val="20"/>
              </w:rPr>
              <w:object w:dxaOrig="225" w:dyaOrig="225">
                <v:shape id="_x0000_i1104" type="#_x0000_t75" style="width:20.25pt;height:18pt" o:ole="">
                  <v:imagedata r:id="rId22" o:title=""/>
                </v:shape>
                <w:control r:id="rId23"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4"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5"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2" o:title=""/>
                </v:shape>
                <w:control r:id="rId26" w:name="DefaultOcxName17" w:shapeid="_x0000_i1113"/>
              </w:object>
            </w:r>
            <w:r>
              <w:rPr>
                <w:sz w:val="20"/>
                <w:szCs w:val="20"/>
              </w:rPr>
              <w:t>elective</w:t>
            </w:r>
          </w:p>
        </w:tc>
      </w:tr>
    </w:tbl>
    <w:p w:rsidR="00D85A8E" w:rsidRDefault="00D85A8E" w:rsidP="00D85A8E">
      <w:pPr>
        <w:pStyle w:val="NormalWeb"/>
        <w:spacing w:before="0" w:after="0"/>
        <w:rPr>
          <w:rFonts w:ascii="Arial" w:hAnsi="Arial" w:cs="Arial"/>
          <w:color w:val="000000"/>
          <w:sz w:val="20"/>
          <w:szCs w:val="20"/>
        </w:rPr>
      </w:pPr>
      <w:r>
        <w:rPr>
          <w:rFonts w:ascii="Arial" w:hAnsi="Arial" w:cs="Arial"/>
          <w:color w:val="000000"/>
          <w:sz w:val="20"/>
          <w:szCs w:val="20"/>
        </w:rPr>
        <w:lastRenderedPageBreak/>
        <w:t>Prerequisites/Co-requisites:</w:t>
      </w:r>
    </w:p>
    <w:p w:rsidR="00D85A8E" w:rsidRDefault="00D85A8E" w:rsidP="00D85A8E">
      <w:pPr>
        <w:pStyle w:val="NormalWeb"/>
        <w:spacing w:before="0" w:after="0"/>
        <w:rPr>
          <w:rFonts w:ascii="Arial" w:hAnsi="Arial" w:cs="Arial"/>
          <w:color w:val="000000"/>
          <w:sz w:val="20"/>
          <w:szCs w:val="20"/>
        </w:rPr>
      </w:pPr>
      <w:r>
        <w:rPr>
          <w:rFonts w:ascii="Arial" w:hAnsi="Arial" w:cs="Arial"/>
          <w:color w:val="000000"/>
          <w:sz w:val="20"/>
          <w:szCs w:val="20"/>
        </w:rPr>
        <w:t>Course description (exactly as it will appear in the catalog, including prerequisites):</w:t>
      </w:r>
    </w:p>
    <w:p w:rsidR="00D85A8E" w:rsidRDefault="00D85A8E" w:rsidP="00D85A8E">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2XXX - Costume Fundamentals</w:t>
      </w:r>
      <w:r>
        <w:rPr>
          <w:rFonts w:ascii="Arial" w:hAnsi="Arial" w:cs="Arial"/>
          <w:color w:val="000000"/>
          <w:sz w:val="20"/>
          <w:szCs w:val="20"/>
        </w:rPr>
        <w:br/>
      </w:r>
      <w:r>
        <w:rPr>
          <w:rFonts w:ascii="Arial" w:hAnsi="Arial" w:cs="Arial"/>
          <w:color w:val="000000"/>
          <w:sz w:val="20"/>
          <w:szCs w:val="20"/>
        </w:rPr>
        <w:br/>
        <w:t>Credits: (3)</w:t>
      </w:r>
      <w:r>
        <w:rPr>
          <w:rStyle w:val="apple-converted-space"/>
          <w:rFonts w:ascii="Arial" w:hAnsi="Arial" w:cs="Arial"/>
          <w:color w:val="000000"/>
          <w:sz w:val="20"/>
          <w:szCs w:val="20"/>
        </w:rPr>
        <w:t> </w:t>
      </w:r>
      <w:r>
        <w:rPr>
          <w:rFonts w:ascii="Arial" w:hAnsi="Arial" w:cs="Arial"/>
          <w:color w:val="000000"/>
          <w:sz w:val="20"/>
          <w:szCs w:val="20"/>
        </w:rPr>
        <w:br/>
        <w:t>Typically taught: Fall</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Introduction to stage costume: with lectures, demonstrations and projects to introduce the basic materials, fabrics, costume construction methods, costume history, and design principles and procedures for theatrical costumes.</w:t>
      </w:r>
    </w:p>
    <w:p w:rsidR="00D85A8E" w:rsidRDefault="00D85A8E" w:rsidP="00D85A8E">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D85A8E" w:rsidRDefault="00D85A8E" w:rsidP="00D85A8E">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 Theatre Arts Design/Technology/Management Emphasis is being adjusted as part of a larger curricular overhaul within the Theatre Arts Area. Currently, WSU is the only school in Utah where design/tech classes are taught as 2 credit blocks. This means that articulation between universities is flawed and that students transferring in or out struggle with this issue. To put our curriculum in line with other state universities, we</w:t>
      </w:r>
      <w:r>
        <w:rPr>
          <w:rStyle w:val="apple-converted-space"/>
          <w:rFonts w:ascii="Arial" w:hAnsi="Arial" w:cs="Arial"/>
          <w:color w:val="000000"/>
          <w:sz w:val="20"/>
          <w:szCs w:val="20"/>
        </w:rPr>
        <w:t> </w:t>
      </w:r>
      <w:r>
        <w:rPr>
          <w:rFonts w:ascii="Arial" w:hAnsi="Arial" w:cs="Arial"/>
          <w:color w:val="000000"/>
          <w:sz w:val="20"/>
          <w:szCs w:val="20"/>
        </w:rPr>
        <w:br/>
        <w:t>are proposing that these courses all be made three hours.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The expanded format will allow for more in-depth course content.</w:t>
      </w:r>
      <w:r>
        <w:rPr>
          <w:rFonts w:ascii="Arial" w:hAnsi="Arial" w:cs="Arial"/>
          <w:color w:val="000000"/>
          <w:sz w:val="20"/>
          <w:szCs w:val="20"/>
        </w:rPr>
        <w:br/>
      </w:r>
      <w:r>
        <w:rPr>
          <w:rFonts w:ascii="Arial" w:hAnsi="Arial" w:cs="Arial"/>
          <w:color w:val="000000"/>
          <w:sz w:val="20"/>
          <w:szCs w:val="20"/>
        </w:rPr>
        <w:br/>
        <w:t>Costume Fundamentals THEA 2XXX supports the following Theater Area Program Outcomes:</w:t>
      </w:r>
      <w:r>
        <w:rPr>
          <w:rFonts w:ascii="Arial" w:hAnsi="Arial" w:cs="Arial"/>
          <w:color w:val="000000"/>
          <w:sz w:val="20"/>
          <w:szCs w:val="20"/>
        </w:rPr>
        <w:br/>
        <w:t>1. Have writing skills and ability to use research tools (library, internet, etc.).</w:t>
      </w:r>
      <w:r>
        <w:rPr>
          <w:rStyle w:val="apple-converted-space"/>
          <w:rFonts w:ascii="Arial" w:hAnsi="Arial" w:cs="Arial"/>
          <w:color w:val="000000"/>
          <w:sz w:val="20"/>
          <w:szCs w:val="20"/>
        </w:rPr>
        <w:t> </w:t>
      </w:r>
      <w:r>
        <w:rPr>
          <w:rFonts w:ascii="Arial" w:hAnsi="Arial" w:cs="Arial"/>
          <w:color w:val="000000"/>
          <w:sz w:val="20"/>
          <w:szCs w:val="20"/>
        </w:rPr>
        <w:br/>
        <w:t>6. Have a practical, working knowledge of how to produce a play on stage, including all related performance, script, design, and technical considerations.</w:t>
      </w:r>
      <w:r>
        <w:rPr>
          <w:rFonts w:ascii="Arial" w:hAnsi="Arial" w:cs="Arial"/>
          <w:color w:val="000000"/>
          <w:sz w:val="20"/>
          <w:szCs w:val="20"/>
        </w:rPr>
        <w:br/>
        <w:t>7. Have the ability to critically evaluate what they and others have created.</w:t>
      </w:r>
      <w:r>
        <w:rPr>
          <w:rFonts w:ascii="Arial" w:hAnsi="Arial" w:cs="Arial"/>
          <w:color w:val="000000"/>
          <w:sz w:val="20"/>
          <w:szCs w:val="20"/>
        </w:rPr>
        <w:br/>
        <w:t>8. Develop necessary skills to be proficient in at least one area of theatre (performance, teaching, technical/design-costume, technical/design-scenery, technical/design-lighting, technical/design-sound, directing, theatre management, or playwriting), with the ability to identify, analyze and resolve specific problems pertaining to that area.</w:t>
      </w:r>
      <w:r>
        <w:rPr>
          <w:rFonts w:ascii="Arial" w:hAnsi="Arial" w:cs="Arial"/>
          <w:color w:val="000000"/>
          <w:sz w:val="20"/>
          <w:szCs w:val="20"/>
        </w:rPr>
        <w:br/>
        <w:t>10. Have experience with individual and collaborative processes needed to produce and understand theatre.</w:t>
      </w:r>
      <w:r>
        <w:rPr>
          <w:rFonts w:ascii="Arial" w:hAnsi="Arial" w:cs="Arial"/>
          <w:color w:val="000000"/>
          <w:sz w:val="20"/>
          <w:szCs w:val="20"/>
        </w:rPr>
        <w:br/>
      </w:r>
      <w:r>
        <w:rPr>
          <w:rFonts w:ascii="Arial" w:hAnsi="Arial" w:cs="Arial"/>
          <w:color w:val="000000"/>
          <w:sz w:val="20"/>
          <w:szCs w:val="20"/>
        </w:rPr>
        <w:br/>
        <w:t xml:space="preserve">Course Objectives: </w:t>
      </w:r>
      <w:r>
        <w:rPr>
          <w:rFonts w:ascii="Arial" w:hAnsi="Arial" w:cs="Arial"/>
          <w:color w:val="000000"/>
          <w:sz w:val="20"/>
          <w:szCs w:val="20"/>
        </w:rPr>
        <w:br/>
        <w:t>• To introduce the multiple aspects of costuming; history, research, construction, and design.</w:t>
      </w:r>
      <w:r>
        <w:rPr>
          <w:rFonts w:ascii="Arial" w:hAnsi="Arial" w:cs="Arial"/>
          <w:color w:val="000000"/>
          <w:sz w:val="20"/>
          <w:szCs w:val="20"/>
        </w:rPr>
        <w:br/>
        <w:t>• To learn how to communicate visually.</w:t>
      </w:r>
      <w:r>
        <w:rPr>
          <w:rStyle w:val="apple-converted-space"/>
          <w:rFonts w:ascii="Arial" w:hAnsi="Arial" w:cs="Arial"/>
          <w:color w:val="000000"/>
          <w:sz w:val="20"/>
          <w:szCs w:val="20"/>
        </w:rPr>
        <w:t> </w:t>
      </w:r>
      <w:r>
        <w:rPr>
          <w:rFonts w:ascii="Arial" w:hAnsi="Arial" w:cs="Arial"/>
          <w:color w:val="000000"/>
          <w:sz w:val="20"/>
          <w:szCs w:val="20"/>
        </w:rPr>
        <w:br/>
        <w:t>• To visualize characters in a script.</w:t>
      </w:r>
      <w:r>
        <w:rPr>
          <w:rStyle w:val="apple-converted-space"/>
          <w:rFonts w:ascii="Arial" w:hAnsi="Arial" w:cs="Arial"/>
          <w:color w:val="000000"/>
          <w:sz w:val="20"/>
          <w:szCs w:val="20"/>
        </w:rPr>
        <w:t> </w:t>
      </w:r>
      <w:r>
        <w:rPr>
          <w:rFonts w:ascii="Arial" w:hAnsi="Arial" w:cs="Arial"/>
          <w:color w:val="000000"/>
          <w:sz w:val="20"/>
          <w:szCs w:val="20"/>
        </w:rPr>
        <w:br/>
        <w:t>• To become a useful human being in the costume studio.</w:t>
      </w:r>
      <w:r>
        <w:rPr>
          <w:rFonts w:ascii="Arial" w:hAnsi="Arial" w:cs="Arial"/>
          <w:color w:val="000000"/>
          <w:sz w:val="20"/>
          <w:szCs w:val="20"/>
        </w:rPr>
        <w:br/>
      </w:r>
      <w:r>
        <w:rPr>
          <w:rFonts w:ascii="Arial" w:hAnsi="Arial" w:cs="Arial"/>
          <w:color w:val="000000"/>
          <w:sz w:val="20"/>
          <w:szCs w:val="20"/>
        </w:rPr>
        <w:br/>
        <w:t xml:space="preserve">Course Purpose: </w:t>
      </w:r>
      <w:r>
        <w:rPr>
          <w:rFonts w:ascii="Arial" w:hAnsi="Arial" w:cs="Arial"/>
          <w:color w:val="000000"/>
          <w:sz w:val="20"/>
          <w:szCs w:val="20"/>
        </w:rPr>
        <w:br/>
        <w:t>Introduction to stage costume: with lectures, demonstrations and projects to introduce the basic materials, fabrics, costume construction methods, costume history, and design principles and procedures for theatrical costumes. The costume designer's art lies in effective interpretation, collaboration, and execution. Doing so successfully requires a solid foundation in general artistic principles and specific knowledge of how those principles apply to contemporary costume design.</w:t>
      </w:r>
      <w:r>
        <w:rPr>
          <w:rFonts w:ascii="Arial" w:hAnsi="Arial" w:cs="Arial"/>
          <w:color w:val="000000"/>
          <w:sz w:val="20"/>
          <w:szCs w:val="20"/>
        </w:rPr>
        <w:br/>
      </w:r>
      <w:r>
        <w:rPr>
          <w:rFonts w:ascii="Arial" w:hAnsi="Arial" w:cs="Arial"/>
          <w:color w:val="000000"/>
          <w:sz w:val="20"/>
          <w:szCs w:val="20"/>
        </w:rPr>
        <w:br/>
      </w:r>
    </w:p>
    <w:p w:rsidR="00D85A8E" w:rsidRDefault="00D85A8E" w:rsidP="00D85A8E">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D85A8E" w:rsidRDefault="00D85A8E" w:rsidP="00D85A8E">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D85A8E" w:rsidRDefault="00D85A8E" w:rsidP="00D85A8E">
      <w:pPr>
        <w:pStyle w:val="NormalWeb"/>
        <w:spacing w:before="150" w:beforeAutospacing="0" w:after="150" w:afterAutospacing="0"/>
        <w:ind w:left="150" w:right="150"/>
        <w:rPr>
          <w:color w:val="000000"/>
          <w:sz w:val="20"/>
          <w:szCs w:val="20"/>
        </w:rPr>
      </w:pPr>
      <w:r>
        <w:rPr>
          <w:color w:val="000000"/>
          <w:sz w:val="20"/>
          <w:szCs w:val="20"/>
        </w:rPr>
        <w:t>true</w:t>
      </w:r>
    </w:p>
    <w:p w:rsidR="00D85A8E" w:rsidRDefault="00D85A8E" w:rsidP="00D85A8E">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D85A8E" w:rsidRDefault="00D85A8E" w:rsidP="00D85A8E">
      <w:pPr>
        <w:pStyle w:val="NormalWeb"/>
        <w:spacing w:before="150" w:beforeAutospacing="0" w:after="150" w:afterAutospacing="0"/>
        <w:ind w:left="150" w:right="150"/>
        <w:rPr>
          <w:color w:val="000000"/>
          <w:sz w:val="20"/>
          <w:szCs w:val="20"/>
        </w:rPr>
      </w:pPr>
      <w:r>
        <w:rPr>
          <w:color w:val="000000"/>
          <w:sz w:val="20"/>
          <w:szCs w:val="20"/>
        </w:rPr>
        <w:lastRenderedPageBreak/>
        <w:t>Not applicable</w:t>
      </w:r>
    </w:p>
    <w:p w:rsidR="00D85A8E" w:rsidRDefault="00D85A8E" w:rsidP="00D85A8E">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D85A8E" w:rsidRDefault="00D85A8E" w:rsidP="00D85A8E">
      <w:pPr>
        <w:pStyle w:val="NormalWeb"/>
        <w:spacing w:before="150" w:beforeAutospacing="0" w:after="150" w:afterAutospacing="0"/>
        <w:ind w:left="150" w:right="150"/>
        <w:rPr>
          <w:color w:val="000000"/>
          <w:sz w:val="20"/>
          <w:szCs w:val="20"/>
        </w:rPr>
      </w:pPr>
      <w:r>
        <w:rPr>
          <w:color w:val="000000"/>
          <w:sz w:val="20"/>
          <w:szCs w:val="20"/>
        </w:rPr>
        <w:t>Not applicable</w:t>
      </w:r>
    </w:p>
    <w:p w:rsidR="00D85A8E" w:rsidRDefault="00D85A8E" w:rsidP="00D85A8E">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D85A8E" w:rsidRDefault="00D85A8E" w:rsidP="00D85A8E">
      <w:pPr>
        <w:pStyle w:val="NormalWeb"/>
        <w:spacing w:before="150" w:beforeAutospacing="0" w:after="150" w:afterAutospacing="0"/>
        <w:ind w:left="150" w:right="150"/>
        <w:rPr>
          <w:color w:val="000000"/>
          <w:sz w:val="20"/>
          <w:szCs w:val="20"/>
        </w:rPr>
      </w:pPr>
      <w:r>
        <w:rPr>
          <w:color w:val="000000"/>
          <w:sz w:val="20"/>
          <w:szCs w:val="20"/>
        </w:rPr>
        <w:t>Not applicable</w:t>
      </w:r>
    </w:p>
    <w:p w:rsidR="00D85A8E" w:rsidRDefault="00D85A8E" w:rsidP="00D85A8E">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D85A8E" w:rsidRDefault="00D85A8E" w:rsidP="00D85A8E">
      <w:pPr>
        <w:pStyle w:val="NormalWeb"/>
        <w:spacing w:before="150" w:beforeAutospacing="0" w:after="150" w:afterAutospacing="0"/>
        <w:ind w:left="150" w:right="150"/>
        <w:rPr>
          <w:color w:val="000000"/>
          <w:sz w:val="20"/>
          <w:szCs w:val="20"/>
        </w:rPr>
      </w:pPr>
      <w:r>
        <w:rPr>
          <w:color w:val="000000"/>
          <w:sz w:val="20"/>
          <w:szCs w:val="20"/>
        </w:rPr>
        <w:t>no</w:t>
      </w:r>
    </w:p>
    <w:p w:rsidR="00D85A8E" w:rsidRDefault="00D85A8E" w:rsidP="00D85A8E">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D85A8E" w:rsidRDefault="00D85A8E" w:rsidP="00D85A8E">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D85A8E" w:rsidRDefault="00D85A8E" w:rsidP="00D85A8E">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D85A8E" w:rsidRDefault="003D6DF4" w:rsidP="00D85A8E"/>
    <w:sectPr w:rsidR="003D6DF4" w:rsidRPr="00D85A8E" w:rsidSect="002C5CD1">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2C5CD1"/>
    <w:rsid w:val="00306809"/>
    <w:rsid w:val="00352E17"/>
    <w:rsid w:val="003D6DF4"/>
    <w:rsid w:val="00543E56"/>
    <w:rsid w:val="005A5EA7"/>
    <w:rsid w:val="0077592C"/>
    <w:rsid w:val="007A19ED"/>
    <w:rsid w:val="008209B2"/>
    <w:rsid w:val="008A4AB2"/>
    <w:rsid w:val="00A50B45"/>
    <w:rsid w:val="00AD444D"/>
    <w:rsid w:val="00D85A8E"/>
    <w:rsid w:val="00F85EB1"/>
    <w:rsid w:val="00FC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78769542">
      <w:bodyDiv w:val="1"/>
      <w:marLeft w:val="0"/>
      <w:marRight w:val="0"/>
      <w:marTop w:val="0"/>
      <w:marBottom w:val="0"/>
      <w:divBdr>
        <w:top w:val="none" w:sz="0" w:space="0" w:color="auto"/>
        <w:left w:val="none" w:sz="0" w:space="0" w:color="auto"/>
        <w:bottom w:val="none" w:sz="0" w:space="0" w:color="auto"/>
        <w:right w:val="none" w:sz="0" w:space="0" w:color="auto"/>
      </w:divBdr>
      <w:divsChild>
        <w:div w:id="1321272701">
          <w:marLeft w:val="0"/>
          <w:marRight w:val="0"/>
          <w:marTop w:val="0"/>
          <w:marBottom w:val="0"/>
          <w:divBdr>
            <w:top w:val="none" w:sz="0" w:space="0" w:color="auto"/>
            <w:left w:val="none" w:sz="0" w:space="0" w:color="auto"/>
            <w:bottom w:val="none" w:sz="0" w:space="0" w:color="auto"/>
            <w:right w:val="none" w:sz="0" w:space="0" w:color="auto"/>
          </w:divBdr>
          <w:divsChild>
            <w:div w:id="656916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634025788">
      <w:bodyDiv w:val="1"/>
      <w:marLeft w:val="0"/>
      <w:marRight w:val="0"/>
      <w:marTop w:val="0"/>
      <w:marBottom w:val="0"/>
      <w:divBdr>
        <w:top w:val="none" w:sz="0" w:space="0" w:color="auto"/>
        <w:left w:val="none" w:sz="0" w:space="0" w:color="auto"/>
        <w:bottom w:val="none" w:sz="0" w:space="0" w:color="auto"/>
        <w:right w:val="none" w:sz="0" w:space="0" w:color="auto"/>
      </w:divBdr>
      <w:divsChild>
        <w:div w:id="895363212">
          <w:marLeft w:val="0"/>
          <w:marRight w:val="0"/>
          <w:marTop w:val="0"/>
          <w:marBottom w:val="0"/>
          <w:divBdr>
            <w:top w:val="none" w:sz="0" w:space="0" w:color="auto"/>
            <w:left w:val="none" w:sz="0" w:space="0" w:color="auto"/>
            <w:bottom w:val="none" w:sz="0" w:space="0" w:color="auto"/>
            <w:right w:val="none" w:sz="0" w:space="0" w:color="auto"/>
          </w:divBdr>
          <w:divsChild>
            <w:div w:id="190891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04776159">
      <w:bodyDiv w:val="1"/>
      <w:marLeft w:val="0"/>
      <w:marRight w:val="0"/>
      <w:marTop w:val="0"/>
      <w:marBottom w:val="0"/>
      <w:divBdr>
        <w:top w:val="none" w:sz="0" w:space="0" w:color="auto"/>
        <w:left w:val="none" w:sz="0" w:space="0" w:color="auto"/>
        <w:bottom w:val="none" w:sz="0" w:space="0" w:color="auto"/>
        <w:right w:val="none" w:sz="0" w:space="0" w:color="auto"/>
      </w:divBdr>
      <w:divsChild>
        <w:div w:id="979387322">
          <w:marLeft w:val="0"/>
          <w:marRight w:val="0"/>
          <w:marTop w:val="0"/>
          <w:marBottom w:val="0"/>
          <w:divBdr>
            <w:top w:val="none" w:sz="0" w:space="0" w:color="auto"/>
            <w:left w:val="none" w:sz="0" w:space="0" w:color="auto"/>
            <w:bottom w:val="none" w:sz="0" w:space="0" w:color="auto"/>
            <w:right w:val="none" w:sz="0" w:space="0" w:color="auto"/>
          </w:divBdr>
          <w:divsChild>
            <w:div w:id="14791092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00466585">
      <w:bodyDiv w:val="1"/>
      <w:marLeft w:val="0"/>
      <w:marRight w:val="0"/>
      <w:marTop w:val="0"/>
      <w:marBottom w:val="0"/>
      <w:divBdr>
        <w:top w:val="none" w:sz="0" w:space="0" w:color="auto"/>
        <w:left w:val="none" w:sz="0" w:space="0" w:color="auto"/>
        <w:bottom w:val="none" w:sz="0" w:space="0" w:color="auto"/>
        <w:right w:val="none" w:sz="0" w:space="0" w:color="auto"/>
      </w:divBdr>
      <w:divsChild>
        <w:div w:id="1557010253">
          <w:marLeft w:val="0"/>
          <w:marRight w:val="0"/>
          <w:marTop w:val="0"/>
          <w:marBottom w:val="0"/>
          <w:divBdr>
            <w:top w:val="none" w:sz="0" w:space="0" w:color="auto"/>
            <w:left w:val="none" w:sz="0" w:space="0" w:color="auto"/>
            <w:bottom w:val="none" w:sz="0" w:space="0" w:color="auto"/>
            <w:right w:val="none" w:sz="0" w:space="0" w:color="auto"/>
          </w:divBdr>
          <w:divsChild>
            <w:div w:id="1123959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45898280">
      <w:bodyDiv w:val="1"/>
      <w:marLeft w:val="0"/>
      <w:marRight w:val="0"/>
      <w:marTop w:val="0"/>
      <w:marBottom w:val="0"/>
      <w:divBdr>
        <w:top w:val="none" w:sz="0" w:space="0" w:color="auto"/>
        <w:left w:val="none" w:sz="0" w:space="0" w:color="auto"/>
        <w:bottom w:val="none" w:sz="0" w:space="0" w:color="auto"/>
        <w:right w:val="none" w:sz="0" w:space="0" w:color="auto"/>
      </w:divBdr>
      <w:divsChild>
        <w:div w:id="1343362586">
          <w:marLeft w:val="0"/>
          <w:marRight w:val="0"/>
          <w:marTop w:val="0"/>
          <w:marBottom w:val="0"/>
          <w:divBdr>
            <w:top w:val="none" w:sz="0" w:space="0" w:color="auto"/>
            <w:left w:val="none" w:sz="0" w:space="0" w:color="auto"/>
            <w:bottom w:val="none" w:sz="0" w:space="0" w:color="auto"/>
            <w:right w:val="none" w:sz="0" w:space="0" w:color="auto"/>
          </w:divBdr>
          <w:divsChild>
            <w:div w:id="749351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14047861">
      <w:bodyDiv w:val="1"/>
      <w:marLeft w:val="0"/>
      <w:marRight w:val="0"/>
      <w:marTop w:val="0"/>
      <w:marBottom w:val="0"/>
      <w:divBdr>
        <w:top w:val="none" w:sz="0" w:space="0" w:color="auto"/>
        <w:left w:val="none" w:sz="0" w:space="0" w:color="auto"/>
        <w:bottom w:val="none" w:sz="0" w:space="0" w:color="auto"/>
        <w:right w:val="none" w:sz="0" w:space="0" w:color="auto"/>
      </w:divBdr>
      <w:divsChild>
        <w:div w:id="1300502843">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2014-01-22T19:42:00Z</dcterms:created>
  <dcterms:modified xsi:type="dcterms:W3CDTF">2014-01-22T19:42:00Z</dcterms:modified>
</cp:coreProperties>
</file>