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43" w:rsidRDefault="00B56B43">
      <w:pPr>
        <w:widowControl w:val="0"/>
        <w:tabs>
          <w:tab w:val="center" w:pos="5040"/>
        </w:tabs>
      </w:pPr>
      <w:r>
        <w:fldChar w:fldCharType="begin"/>
      </w:r>
      <w:r>
        <w:instrText xml:space="preserve"> SEQ CHAPTER \h \r 1</w:instrText>
      </w:r>
      <w:r>
        <w:fldChar w:fldCharType="end"/>
      </w:r>
      <w:r>
        <w:tab/>
      </w:r>
      <w:r>
        <w:rPr>
          <w:u w:val="double"/>
        </w:rPr>
        <w:t>FACULTY BOARD OF REVIEW 201</w:t>
      </w:r>
      <w:r w:rsidR="00C05003">
        <w:rPr>
          <w:u w:val="double"/>
        </w:rPr>
        <w:t>3</w:t>
      </w:r>
      <w:r>
        <w:rPr>
          <w:u w:val="double"/>
        </w:rPr>
        <w:t>-1</w:t>
      </w:r>
      <w:r w:rsidR="00C05003">
        <w:rPr>
          <w:u w:val="double"/>
        </w:rPr>
        <w:t>4</w:t>
      </w:r>
      <w:r>
        <w:tab/>
      </w:r>
      <w:r>
        <w:tab/>
      </w:r>
      <w:r>
        <w:tab/>
      </w:r>
    </w:p>
    <w:p w:rsidR="00B56B43" w:rsidRDefault="00B56B4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56B43" w:rsidRDefault="00B56B4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56B43" w:rsidRDefault="00B56B4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Two Year Term</w:t>
      </w:r>
      <w:r>
        <w:tab/>
      </w:r>
      <w:r>
        <w:tab/>
      </w:r>
      <w:r>
        <w:tab/>
      </w:r>
      <w:r>
        <w:tab/>
      </w:r>
      <w:r>
        <w:tab/>
      </w:r>
      <w:r>
        <w:rPr>
          <w:u w:val="single"/>
        </w:rPr>
        <w:t>One Year Term</w:t>
      </w:r>
      <w:r>
        <w:tab/>
      </w:r>
      <w:r>
        <w:tab/>
      </w:r>
      <w:r>
        <w:tab/>
      </w:r>
      <w:r w:rsidR="00297048">
        <w:tab/>
      </w:r>
      <w:r>
        <w:tab/>
      </w:r>
      <w:r>
        <w:tab/>
      </w:r>
      <w:r>
        <w:rPr>
          <w:u w:val="single"/>
        </w:rPr>
        <w:t>Alternates</w:t>
      </w:r>
      <w:r>
        <w:tab/>
      </w:r>
      <w:r>
        <w:tab/>
      </w:r>
    </w:p>
    <w:p w:rsidR="00B56B43" w:rsidRDefault="0029704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pPr>
      <w:r>
        <w:t>Jim Jacobs, A&amp;H</w:t>
      </w:r>
      <w:r w:rsidR="00C05003">
        <w:tab/>
      </w:r>
      <w:r>
        <w:tab/>
      </w:r>
      <w:r>
        <w:tab/>
      </w:r>
      <w:r w:rsidR="00C05003">
        <w:tab/>
      </w:r>
      <w:r w:rsidR="00C05003">
        <w:tab/>
      </w:r>
      <w:r w:rsidR="00B56B43">
        <w:t xml:space="preserve">Stephanie </w:t>
      </w:r>
      <w:proofErr w:type="spellStart"/>
      <w:r w:rsidR="00B56B43">
        <w:t>Bossenberger</w:t>
      </w:r>
      <w:proofErr w:type="spellEnd"/>
      <w:r w:rsidR="00B56B43">
        <w:t>, HP</w:t>
      </w:r>
      <w:r w:rsidR="00B56B43">
        <w:tab/>
      </w:r>
      <w:r w:rsidR="00B56B43">
        <w:tab/>
      </w:r>
      <w:r w:rsidR="00B56B43">
        <w:tab/>
      </w:r>
      <w:r>
        <w:t>Rosemary Conover, S&amp;BS</w:t>
      </w:r>
    </w:p>
    <w:p w:rsidR="00B56B43" w:rsidRPr="00203479" w:rsidRDefault="0029704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hanging="6840"/>
        <w:rPr>
          <w:highlight w:val="yellow"/>
        </w:rPr>
      </w:pPr>
      <w:r>
        <w:t xml:space="preserve">Sam </w:t>
      </w:r>
      <w:proofErr w:type="spellStart"/>
      <w:r>
        <w:t>Zeveloff</w:t>
      </w:r>
      <w:proofErr w:type="spellEnd"/>
      <w:r>
        <w:t xml:space="preserve">, </w:t>
      </w:r>
      <w:r w:rsidR="00C05003">
        <w:tab/>
      </w:r>
      <w:r>
        <w:t>S</w:t>
      </w:r>
      <w:r w:rsidR="00C05003">
        <w:tab/>
      </w:r>
      <w:r w:rsidR="00C05003">
        <w:tab/>
      </w:r>
      <w:r w:rsidR="00C05003">
        <w:tab/>
      </w:r>
      <w:r>
        <w:tab/>
      </w:r>
      <w:r>
        <w:tab/>
      </w:r>
      <w:r w:rsidR="003E3F3D">
        <w:t xml:space="preserve">Brian Davis, B&amp;E </w:t>
      </w:r>
      <w:r w:rsidR="00203479" w:rsidRPr="00203479">
        <w:tab/>
      </w:r>
      <w:r w:rsidR="00203479">
        <w:tab/>
      </w:r>
      <w:r w:rsidR="00203479">
        <w:tab/>
      </w:r>
      <w:r w:rsidR="00203479">
        <w:tab/>
      </w:r>
      <w:r>
        <w:tab/>
        <w:t>Kent Kidman, S</w:t>
      </w:r>
    </w:p>
    <w:p w:rsidR="00B56B43" w:rsidRDefault="001E4F4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9360"/>
      </w:pPr>
      <w:r>
        <w:tab/>
      </w:r>
      <w:r>
        <w:tab/>
      </w:r>
      <w:r>
        <w:tab/>
      </w:r>
      <w:r>
        <w:tab/>
      </w:r>
      <w:r>
        <w:tab/>
      </w:r>
      <w:r>
        <w:tab/>
      </w:r>
      <w:r w:rsidR="00C05003">
        <w:tab/>
      </w:r>
      <w:r w:rsidR="00C05003">
        <w:tab/>
      </w:r>
      <w:r w:rsidR="00C05003">
        <w:tab/>
      </w:r>
      <w:r w:rsidR="003E3F3D" w:rsidRPr="003E3F3D">
        <w:t>Lauren Fowler, S&amp;BS</w:t>
      </w:r>
      <w:r w:rsidR="00B56B43">
        <w:tab/>
      </w:r>
      <w:r w:rsidR="00B56B43">
        <w:tab/>
      </w:r>
      <w:r w:rsidR="00C05003">
        <w:tab/>
      </w:r>
    </w:p>
    <w:p w:rsidR="003E3F3D" w:rsidRDefault="003E3F3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tab/>
      </w:r>
      <w:r>
        <w:tab/>
      </w:r>
      <w:r>
        <w:tab/>
      </w:r>
      <w:r>
        <w:tab/>
      </w:r>
      <w:r>
        <w:tab/>
      </w:r>
      <w:r>
        <w:tab/>
      </w:r>
      <w:r>
        <w:tab/>
      </w:r>
      <w:r>
        <w:tab/>
        <w:t>Molly Smith, ED</w:t>
      </w:r>
      <w:r>
        <w:tab/>
      </w:r>
    </w:p>
    <w:p w:rsidR="003E3F3D" w:rsidRPr="00585197" w:rsidRDefault="003E3F3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B56B43" w:rsidRPr="00585197" w:rsidRDefault="00C0500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85197">
        <w:rPr>
          <w:b/>
        </w:rPr>
        <w:t>Chair:</w:t>
      </w:r>
      <w:r w:rsidRPr="00585197">
        <w:rPr>
          <w:b/>
        </w:rPr>
        <w:tab/>
      </w:r>
      <w:r w:rsidR="00650375" w:rsidRPr="00585197">
        <w:rPr>
          <w:b/>
        </w:rPr>
        <w:t>Molly Smith</w:t>
      </w:r>
    </w:p>
    <w:p w:rsidR="00B56B43" w:rsidRDefault="00B56B4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7ED8" w:rsidRDefault="005E7ED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2"/>
        </w:rPr>
      </w:pPr>
    </w:p>
    <w:p w:rsidR="00B56B43" w:rsidRDefault="00B56B4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2"/>
          <w:u w:val="single"/>
        </w:rPr>
      </w:pPr>
      <w:r>
        <w:rPr>
          <w:sz w:val="22"/>
        </w:rPr>
        <w:t xml:space="preserve">PPM 1-13, ARTICLE B-VI. </w:t>
      </w:r>
      <w:r>
        <w:rPr>
          <w:sz w:val="22"/>
          <w:u w:val="single"/>
        </w:rPr>
        <w:t>REVIEW FUNCTIONS OF THE FACULTY</w:t>
      </w:r>
    </w:p>
    <w:p w:rsidR="00B56B43" w:rsidRDefault="00B56B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sz w:val="22"/>
        </w:rPr>
      </w:pPr>
      <w:r>
        <w:rPr>
          <w:sz w:val="22"/>
        </w:rPr>
        <w:t xml:space="preserve">Section 2. </w:t>
      </w:r>
      <w:r>
        <w:rPr>
          <w:sz w:val="22"/>
          <w:u w:val="single"/>
        </w:rPr>
        <w:t>The Faculty Board of Review</w:t>
      </w:r>
      <w:bookmarkStart w:id="0" w:name="_GoBack"/>
      <w:bookmarkEnd w:id="0"/>
    </w:p>
    <w:p w:rsidR="00B56B43" w:rsidRDefault="00B56B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2"/>
        </w:rPr>
      </w:pPr>
      <w:r>
        <w:rPr>
          <w:sz w:val="22"/>
        </w:rPr>
        <w:t xml:space="preserve">The review function of the faculty shall be exercised by the Faculty Board of Review. </w:t>
      </w:r>
      <w:r>
        <w:rPr>
          <w:b/>
          <w:sz w:val="22"/>
        </w:rPr>
        <w:t>The Faculty Board of Review shall be composed of seven regular members and two alternate members</w:t>
      </w:r>
      <w:r>
        <w:rPr>
          <w:sz w:val="22"/>
        </w:rPr>
        <w:t>;</w:t>
      </w:r>
      <w:r>
        <w:rPr>
          <w:b/>
          <w:sz w:val="22"/>
        </w:rPr>
        <w:t xml:space="preserve"> each member must be a tenured member of the teaching faculty. </w:t>
      </w:r>
      <w:r>
        <w:rPr>
          <w:sz w:val="22"/>
        </w:rPr>
        <w:t xml:space="preserve">When issues dictate, up to two student members may be added to the Board. The Faculty Senate shall elect </w:t>
      </w:r>
      <w:r>
        <w:rPr>
          <w:b/>
          <w:sz w:val="22"/>
        </w:rPr>
        <w:t xml:space="preserve">at least three regular members and two alternate members each year from a slate of nominees presented by the Executive Committee </w:t>
      </w:r>
      <w:r>
        <w:rPr>
          <w:sz w:val="22"/>
        </w:rPr>
        <w:t xml:space="preserve">as the Faculty Board of Review. The </w:t>
      </w:r>
      <w:r>
        <w:rPr>
          <w:b/>
          <w:sz w:val="22"/>
        </w:rPr>
        <w:t xml:space="preserve">Executive Committee shall recommend to the Faculty Senate the chair for the Faculty Board of Review Committee and require Faculty Senate approval </w:t>
      </w:r>
      <w:r>
        <w:rPr>
          <w:sz w:val="22"/>
        </w:rPr>
        <w:t>of that appointment via motion. Regular members shall hold office after the last day of spring semester for a term of two years; alternate members shall hold office following the last day of spring semester for a term of one year. A member shall complete the review of any case in which consideration began prior to the expiration of the member's term of office. At least one year shall elapse between terms of office. No more than one member of the Faculty Board of Review shall serve at any one time from a single department of the University, or where departments do not exist, from any single program.</w:t>
      </w:r>
    </w:p>
    <w:p w:rsidR="00297048" w:rsidRDefault="002970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2"/>
        </w:rPr>
      </w:pPr>
    </w:p>
    <w:tbl>
      <w:tblPr>
        <w:tblpPr w:leftFromText="180" w:rightFromText="180" w:vertAnchor="page" w:horzAnchor="page" w:tblpX="2278" w:tblpY="8759"/>
        <w:tblW w:w="7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087"/>
        <w:gridCol w:w="1873"/>
        <w:gridCol w:w="1873"/>
      </w:tblGrid>
      <w:tr w:rsidR="00DE13EE" w:rsidTr="00DE13EE">
        <w:tblPrEx>
          <w:tblCellMar>
            <w:top w:w="0" w:type="dxa"/>
            <w:bottom w:w="0" w:type="dxa"/>
          </w:tblCellMar>
        </w:tblPrEx>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COMMITTEE MEMBER</w:t>
            </w:r>
          </w:p>
        </w:tc>
        <w:tc>
          <w:tcPr>
            <w:tcW w:w="1873" w:type="dxa"/>
            <w:tcBorders>
              <w:top w:val="single" w:sz="8" w:space="0" w:color="000000"/>
              <w:left w:val="single" w:sz="8" w:space="0" w:color="000000"/>
              <w:bottom w:val="single" w:sz="8" w:space="0" w:color="000000"/>
              <w:right w:val="single" w:sz="8" w:space="0" w:color="000000"/>
            </w:tcBorders>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EXTENSION</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MAIL CODE</w:t>
            </w:r>
          </w:p>
        </w:tc>
      </w:tr>
      <w:tr w:rsidR="00DE13EE" w:rsidTr="00DE13EE">
        <w:tblPrEx>
          <w:tblCellMar>
            <w:top w:w="0" w:type="dxa"/>
            <w:bottom w:w="0" w:type="dxa"/>
          </w:tblCellMar>
        </w:tblPrEx>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Stephanie </w:t>
            </w:r>
            <w:proofErr w:type="spellStart"/>
            <w:r>
              <w:t>Bossenberger</w:t>
            </w:r>
            <w:proofErr w:type="spellEnd"/>
            <w:r>
              <w:t>, HP (1)</w:t>
            </w:r>
          </w:p>
        </w:tc>
        <w:tc>
          <w:tcPr>
            <w:tcW w:w="1873" w:type="dxa"/>
            <w:tcBorders>
              <w:top w:val="single" w:sz="8" w:space="0" w:color="000000"/>
              <w:left w:val="single" w:sz="8" w:space="0" w:color="000000"/>
              <w:bottom w:val="single" w:sz="8" w:space="0" w:color="000000"/>
              <w:right w:val="single" w:sz="8" w:space="0" w:color="000000"/>
            </w:tcBorders>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6451</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3920</w:t>
            </w:r>
          </w:p>
        </w:tc>
      </w:tr>
      <w:tr w:rsidR="00DE13EE" w:rsidTr="00DE13EE">
        <w:tblPrEx>
          <w:tblCellMar>
            <w:top w:w="0" w:type="dxa"/>
            <w:bottom w:w="0" w:type="dxa"/>
          </w:tblCellMar>
        </w:tblPrEx>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E13EE">
              <w:t>Brian Davis, B&amp;E</w:t>
            </w:r>
          </w:p>
        </w:tc>
        <w:tc>
          <w:tcPr>
            <w:tcW w:w="1873" w:type="dxa"/>
            <w:tcBorders>
              <w:top w:val="single" w:sz="8" w:space="0" w:color="000000"/>
              <w:left w:val="single" w:sz="8" w:space="0" w:color="000000"/>
              <w:bottom w:val="single" w:sz="8" w:space="0" w:color="000000"/>
              <w:right w:val="single" w:sz="8" w:space="0" w:color="000000"/>
            </w:tcBorders>
          </w:tcPr>
          <w:p w:rsidR="00DE13EE" w:rsidRDefault="00F96F0C"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6075</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F96F0C"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3802</w:t>
            </w:r>
          </w:p>
        </w:tc>
      </w:tr>
      <w:tr w:rsidR="00DE13EE" w:rsidTr="00DE13EE">
        <w:tblPrEx>
          <w:tblCellMar>
            <w:top w:w="0" w:type="dxa"/>
            <w:bottom w:w="0" w:type="dxa"/>
          </w:tblCellMar>
        </w:tblPrEx>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Lauren Fowler, S&amp;BS  (1)</w:t>
            </w:r>
          </w:p>
        </w:tc>
        <w:tc>
          <w:tcPr>
            <w:tcW w:w="1873" w:type="dxa"/>
            <w:tcBorders>
              <w:top w:val="single" w:sz="8" w:space="0" w:color="000000"/>
              <w:left w:val="single" w:sz="8" w:space="0" w:color="000000"/>
              <w:bottom w:val="single" w:sz="8" w:space="0" w:color="000000"/>
              <w:right w:val="single" w:sz="8" w:space="0" w:color="000000"/>
            </w:tcBorders>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7620</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1202</w:t>
            </w:r>
          </w:p>
        </w:tc>
      </w:tr>
      <w:tr w:rsidR="00DE13EE" w:rsidTr="00DE13EE">
        <w:tblPrEx>
          <w:tblCellMar>
            <w:top w:w="0" w:type="dxa"/>
            <w:bottom w:w="0" w:type="dxa"/>
          </w:tblCellMar>
        </w:tblPrEx>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Jim Jacobs, A&amp;H (2)</w:t>
            </w:r>
          </w:p>
        </w:tc>
        <w:tc>
          <w:tcPr>
            <w:tcW w:w="1873" w:type="dxa"/>
            <w:tcBorders>
              <w:top w:val="single" w:sz="8" w:space="0" w:color="000000"/>
              <w:left w:val="single" w:sz="8" w:space="0" w:color="000000"/>
              <w:bottom w:val="single" w:sz="8" w:space="0" w:color="000000"/>
              <w:right w:val="single" w:sz="8" w:space="0" w:color="000000"/>
            </w:tcBorders>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7099</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2001</w:t>
            </w:r>
          </w:p>
        </w:tc>
      </w:tr>
      <w:tr w:rsidR="00DE13EE" w:rsidTr="00DE13EE">
        <w:tblPrEx>
          <w:tblCellMar>
            <w:top w:w="0" w:type="dxa"/>
            <w:bottom w:w="0" w:type="dxa"/>
          </w:tblCellMar>
        </w:tblPrEx>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Pr="006C5F7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tc>
        <w:tc>
          <w:tcPr>
            <w:tcW w:w="1873" w:type="dxa"/>
            <w:tcBorders>
              <w:top w:val="single" w:sz="8" w:space="0" w:color="000000"/>
              <w:left w:val="single" w:sz="8" w:space="0" w:color="000000"/>
              <w:bottom w:val="single" w:sz="8" w:space="0" w:color="000000"/>
              <w:right w:val="single" w:sz="8" w:space="0" w:color="000000"/>
            </w:tcBorders>
          </w:tcPr>
          <w:p w:rsidR="00DE13EE" w:rsidRPr="006C5F7E" w:rsidRDefault="00DE13EE" w:rsidP="001E4F4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highlight w:val="yellow"/>
              </w:rPr>
            </w:pP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Pr="006C5F7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highlight w:val="yellow"/>
              </w:rPr>
            </w:pPr>
          </w:p>
        </w:tc>
      </w:tr>
      <w:tr w:rsidR="00DE13EE" w:rsidTr="00DE13EE">
        <w:tblPrEx>
          <w:tblCellMar>
            <w:top w:w="0" w:type="dxa"/>
            <w:bottom w:w="0" w:type="dxa"/>
          </w:tblCellMar>
        </w:tblPrEx>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Molly Smith, ED (1)</w:t>
            </w:r>
            <w:r w:rsidR="00650375">
              <w:t xml:space="preserve"> CHAIR</w:t>
            </w:r>
          </w:p>
        </w:tc>
        <w:tc>
          <w:tcPr>
            <w:tcW w:w="1873" w:type="dxa"/>
            <w:tcBorders>
              <w:top w:val="single" w:sz="8" w:space="0" w:color="000000"/>
              <w:left w:val="single" w:sz="8" w:space="0" w:color="000000"/>
              <w:bottom w:val="single" w:sz="8" w:space="0" w:color="000000"/>
              <w:right w:val="single" w:sz="8" w:space="0" w:color="000000"/>
            </w:tcBorders>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6480</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2801</w:t>
            </w:r>
          </w:p>
        </w:tc>
      </w:tr>
      <w:tr w:rsidR="00DE13EE" w:rsidTr="00DE13EE">
        <w:tblPrEx>
          <w:tblCellMar>
            <w:top w:w="0" w:type="dxa"/>
            <w:bottom w:w="0" w:type="dxa"/>
          </w:tblCellMar>
        </w:tblPrEx>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Sam </w:t>
            </w:r>
            <w:proofErr w:type="spellStart"/>
            <w:r>
              <w:t>Zeveloff</w:t>
            </w:r>
            <w:proofErr w:type="spellEnd"/>
            <w:r>
              <w:t xml:space="preserve">, </w:t>
            </w:r>
            <w:r>
              <w:tab/>
              <w:t>S (2)</w:t>
            </w:r>
          </w:p>
        </w:tc>
        <w:tc>
          <w:tcPr>
            <w:tcW w:w="1873" w:type="dxa"/>
            <w:tcBorders>
              <w:top w:val="single" w:sz="8" w:space="0" w:color="000000"/>
              <w:left w:val="single" w:sz="8" w:space="0" w:color="000000"/>
              <w:bottom w:val="single" w:sz="8" w:space="0" w:color="000000"/>
              <w:right w:val="single" w:sz="8" w:space="0" w:color="000000"/>
            </w:tcBorders>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6655</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2501</w:t>
            </w:r>
          </w:p>
        </w:tc>
      </w:tr>
      <w:tr w:rsidR="00DE13EE" w:rsidTr="00DE13EE">
        <w:tblPrEx>
          <w:tblCellMar>
            <w:top w:w="0" w:type="dxa"/>
            <w:bottom w:w="0" w:type="dxa"/>
          </w:tblCellMar>
        </w:tblPrEx>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Alternates</w:t>
            </w:r>
          </w:p>
        </w:tc>
        <w:tc>
          <w:tcPr>
            <w:tcW w:w="1873" w:type="dxa"/>
            <w:tcBorders>
              <w:top w:val="single" w:sz="8" w:space="0" w:color="000000"/>
              <w:left w:val="single" w:sz="8" w:space="0" w:color="000000"/>
              <w:bottom w:val="single" w:sz="8" w:space="0" w:color="000000"/>
              <w:right w:val="single" w:sz="8" w:space="0" w:color="000000"/>
            </w:tcBorders>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DE13EE" w:rsidTr="00DE13EE">
        <w:tblPrEx>
          <w:tblCellMar>
            <w:top w:w="0" w:type="dxa"/>
            <w:bottom w:w="0" w:type="dxa"/>
          </w:tblCellMar>
        </w:tblPrEx>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pPr>
            <w:r>
              <w:t>Rosemary Conover, S&amp;BS</w:t>
            </w:r>
          </w:p>
        </w:tc>
        <w:tc>
          <w:tcPr>
            <w:tcW w:w="1873" w:type="dxa"/>
            <w:tcBorders>
              <w:top w:val="single" w:sz="8" w:space="0" w:color="000000"/>
              <w:left w:val="single" w:sz="8" w:space="0" w:color="000000"/>
              <w:bottom w:val="single" w:sz="8" w:space="0" w:color="000000"/>
              <w:right w:val="single" w:sz="8" w:space="0" w:color="000000"/>
            </w:tcBorders>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6641</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1208</w:t>
            </w:r>
          </w:p>
        </w:tc>
      </w:tr>
      <w:tr w:rsidR="00DE13EE" w:rsidTr="00DE13EE">
        <w:tblPrEx>
          <w:tblCellMar>
            <w:top w:w="0" w:type="dxa"/>
            <w:bottom w:w="0" w:type="dxa"/>
          </w:tblCellMar>
        </w:tblPrEx>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hanging="6840"/>
            </w:pPr>
            <w:r>
              <w:t>Kent Kidman, S</w:t>
            </w:r>
          </w:p>
        </w:tc>
        <w:tc>
          <w:tcPr>
            <w:tcW w:w="1873" w:type="dxa"/>
            <w:tcBorders>
              <w:top w:val="single" w:sz="8" w:space="0" w:color="000000"/>
              <w:left w:val="single" w:sz="8" w:space="0" w:color="000000"/>
              <w:bottom w:val="single" w:sz="8" w:space="0" w:color="000000"/>
              <w:right w:val="single" w:sz="8" w:space="0" w:color="000000"/>
            </w:tcBorders>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7206</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1702</w:t>
            </w:r>
          </w:p>
        </w:tc>
      </w:tr>
    </w:tbl>
    <w:p w:rsidR="00B56B43" w:rsidRDefault="00DE13EE" w:rsidP="0003225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sectPr w:rsidR="00B56B43" w:rsidSect="00650375">
      <w:footerReference w:type="default" r:id="rId7"/>
      <w:pgSz w:w="12240" w:h="15840"/>
      <w:pgMar w:top="1170" w:right="720" w:bottom="99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71" w:rsidRDefault="00874071" w:rsidP="00382B36">
      <w:r>
        <w:separator/>
      </w:r>
    </w:p>
  </w:endnote>
  <w:endnote w:type="continuationSeparator" w:id="0">
    <w:p w:rsidR="00874071" w:rsidRDefault="00874071" w:rsidP="0038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36" w:rsidRDefault="00650375">
    <w:pPr>
      <w:pStyle w:val="Footer"/>
    </w:pPr>
    <w:r>
      <w:fldChar w:fldCharType="begin"/>
    </w:r>
    <w:r>
      <w:instrText xml:space="preserve"> DATE \@ "d-MMM-yy" </w:instrText>
    </w:r>
    <w:r>
      <w:fldChar w:fldCharType="separate"/>
    </w:r>
    <w:r w:rsidR="000B40FD">
      <w:rPr>
        <w:noProof/>
      </w:rPr>
      <w:t>14-Oct-13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71" w:rsidRDefault="00874071" w:rsidP="00382B36">
      <w:r>
        <w:separator/>
      </w:r>
    </w:p>
  </w:footnote>
  <w:footnote w:type="continuationSeparator" w:id="0">
    <w:p w:rsidR="00874071" w:rsidRDefault="00874071" w:rsidP="00382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bordersDoNotSurroundHeader/>
  <w:bordersDoNotSurroundFooter/>
  <w:proofState w:spelling="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CBA"/>
    <w:rsid w:val="00032253"/>
    <w:rsid w:val="000B40FD"/>
    <w:rsid w:val="000E7CBA"/>
    <w:rsid w:val="001D2D6F"/>
    <w:rsid w:val="001E4F4D"/>
    <w:rsid w:val="00203479"/>
    <w:rsid w:val="00297048"/>
    <w:rsid w:val="002E1C34"/>
    <w:rsid w:val="00367DEF"/>
    <w:rsid w:val="00382B36"/>
    <w:rsid w:val="003E3F3D"/>
    <w:rsid w:val="003E7865"/>
    <w:rsid w:val="0046155D"/>
    <w:rsid w:val="00585197"/>
    <w:rsid w:val="005C6859"/>
    <w:rsid w:val="005E7ED8"/>
    <w:rsid w:val="00650375"/>
    <w:rsid w:val="006925A5"/>
    <w:rsid w:val="006C5F7E"/>
    <w:rsid w:val="00874071"/>
    <w:rsid w:val="00A2473E"/>
    <w:rsid w:val="00A5790C"/>
    <w:rsid w:val="00B56B43"/>
    <w:rsid w:val="00BF68A6"/>
    <w:rsid w:val="00C05003"/>
    <w:rsid w:val="00DE13EE"/>
    <w:rsid w:val="00F9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F0C"/>
    <w:rPr>
      <w:rFonts w:ascii="Tahoma" w:hAnsi="Tahoma" w:cs="Tahoma"/>
      <w:sz w:val="16"/>
      <w:szCs w:val="16"/>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
    <w:basedOn w:val="Normal"/>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alloonTextChar">
    <w:name w:val="Balloon Text Char"/>
    <w:link w:val="BalloonText"/>
    <w:uiPriority w:val="99"/>
    <w:semiHidden/>
    <w:rsid w:val="00F96F0C"/>
    <w:rPr>
      <w:rFonts w:ascii="Tahoma" w:hAnsi="Tahoma" w:cs="Tahoma"/>
      <w:sz w:val="16"/>
      <w:szCs w:val="16"/>
    </w:rPr>
  </w:style>
  <w:style w:type="paragraph" w:styleId="Header">
    <w:name w:val="header"/>
    <w:basedOn w:val="Normal"/>
    <w:link w:val="HeaderChar"/>
    <w:uiPriority w:val="99"/>
    <w:unhideWhenUsed/>
    <w:rsid w:val="00382B36"/>
    <w:pPr>
      <w:tabs>
        <w:tab w:val="center" w:pos="4680"/>
        <w:tab w:val="right" w:pos="9360"/>
      </w:tabs>
    </w:pPr>
  </w:style>
  <w:style w:type="character" w:customStyle="1" w:styleId="HeaderChar">
    <w:name w:val="Header Char"/>
    <w:link w:val="Header"/>
    <w:uiPriority w:val="99"/>
    <w:rsid w:val="00382B36"/>
    <w:rPr>
      <w:sz w:val="24"/>
    </w:rPr>
  </w:style>
  <w:style w:type="paragraph" w:styleId="Footer">
    <w:name w:val="footer"/>
    <w:basedOn w:val="Normal"/>
    <w:link w:val="FooterChar"/>
    <w:uiPriority w:val="99"/>
    <w:unhideWhenUsed/>
    <w:rsid w:val="00382B36"/>
    <w:pPr>
      <w:tabs>
        <w:tab w:val="center" w:pos="4680"/>
        <w:tab w:val="right" w:pos="9360"/>
      </w:tabs>
    </w:pPr>
  </w:style>
  <w:style w:type="character" w:customStyle="1" w:styleId="FooterChar">
    <w:name w:val="Footer Char"/>
    <w:link w:val="Footer"/>
    <w:uiPriority w:val="99"/>
    <w:rsid w:val="00382B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2013-10-14T14:28:00Z</cp:lastPrinted>
  <dcterms:created xsi:type="dcterms:W3CDTF">2013-10-14T14:30:00Z</dcterms:created>
  <dcterms:modified xsi:type="dcterms:W3CDTF">2013-10-14T14:31:00Z</dcterms:modified>
</cp:coreProperties>
</file>