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5D" w:rsidRPr="00595B5D" w:rsidRDefault="00B24D5D" w:rsidP="00B24D5D">
      <w:pPr>
        <w:spacing w:after="240"/>
        <w:rPr>
          <w:rFonts w:asciiTheme="minorHAnsi" w:hAnsiTheme="minorHAnsi" w:cs="Calibri"/>
          <w:b/>
          <w:bCs/>
        </w:rPr>
      </w:pPr>
      <w:r w:rsidRPr="00595B5D">
        <w:rPr>
          <w:rFonts w:asciiTheme="minorHAnsi" w:hAnsiTheme="minorHAnsi" w:cs="Calibri"/>
          <w:b/>
          <w:bCs/>
        </w:rPr>
        <w:t>PURPOSE</w:t>
      </w:r>
    </w:p>
    <w:p w:rsidR="00595B5D" w:rsidRPr="00595B5D" w:rsidRDefault="00595B5D" w:rsidP="00B24D5D">
      <w:pPr>
        <w:spacing w:after="240"/>
        <w:rPr>
          <w:rFonts w:asciiTheme="minorHAnsi" w:hAnsiTheme="minorHAnsi" w:cs="Times New Roman"/>
          <w:i/>
          <w:szCs w:val="24"/>
        </w:rPr>
      </w:pPr>
      <w:r w:rsidRPr="00595B5D">
        <w:rPr>
          <w:rFonts w:asciiTheme="minorHAnsi" w:hAnsiTheme="minorHAnsi" w:cs="Times New Roman"/>
          <w:i/>
          <w:szCs w:val="24"/>
        </w:rPr>
        <w:t>This policy is established to govern the idling of vehicles on the WSU campuses. The policy is designed to help improve air quality on campus and along the Wasatch Front. Air pollution presents a serious threat to human health along the Wasatch Front, which frequently has the worst air quality in the nation. Eliminating idling will help reduce pollutants emitted into the atmosphere and can also incentivize students to exit their vehicles, remain more active, and contribute more to the quality of campus life.</w:t>
      </w:r>
    </w:p>
    <w:p w:rsidR="00B24D5D" w:rsidRPr="00595B5D" w:rsidRDefault="00B24D5D" w:rsidP="00B24D5D">
      <w:pPr>
        <w:spacing w:after="240"/>
        <w:rPr>
          <w:rFonts w:asciiTheme="minorHAnsi" w:hAnsiTheme="minorHAnsi" w:cs="Calibri"/>
          <w:b/>
          <w:bCs/>
        </w:rPr>
      </w:pPr>
      <w:r w:rsidRPr="00595B5D">
        <w:rPr>
          <w:rFonts w:asciiTheme="minorHAnsi" w:hAnsiTheme="minorHAnsi" w:cs="Calibri"/>
          <w:b/>
          <w:bCs/>
        </w:rPr>
        <w:t>POLICY</w:t>
      </w:r>
    </w:p>
    <w:p w:rsidR="00595B5D" w:rsidRPr="00595B5D" w:rsidRDefault="00595B5D" w:rsidP="00595B5D">
      <w:pPr>
        <w:pStyle w:val="ListParagraph"/>
        <w:numPr>
          <w:ilvl w:val="0"/>
          <w:numId w:val="8"/>
        </w:numPr>
        <w:rPr>
          <w:rFonts w:asciiTheme="minorHAnsi" w:hAnsiTheme="minorHAnsi" w:cs="Times New Roman"/>
          <w:szCs w:val="24"/>
        </w:rPr>
      </w:pPr>
      <w:r w:rsidRPr="00595B5D">
        <w:rPr>
          <w:rFonts w:asciiTheme="minorHAnsi" w:hAnsiTheme="minorHAnsi" w:cs="Times New Roman"/>
          <w:szCs w:val="24"/>
        </w:rPr>
        <w:t>Idling is defined as having the eng</w:t>
      </w:r>
      <w:r>
        <w:rPr>
          <w:rFonts w:asciiTheme="minorHAnsi" w:hAnsiTheme="minorHAnsi" w:cs="Times New Roman"/>
          <w:szCs w:val="24"/>
        </w:rPr>
        <w:t>ine running while the vehicle is</w:t>
      </w:r>
      <w:r w:rsidRPr="00595B5D">
        <w:rPr>
          <w:rFonts w:asciiTheme="minorHAnsi" w:hAnsiTheme="minorHAnsi" w:cs="Times New Roman"/>
          <w:szCs w:val="24"/>
        </w:rPr>
        <w:t xml:space="preserve"> parked or stationary.</w:t>
      </w:r>
    </w:p>
    <w:p w:rsidR="00595B5D" w:rsidRDefault="00595B5D" w:rsidP="00595B5D">
      <w:pPr>
        <w:pStyle w:val="ListParagraph"/>
        <w:numPr>
          <w:ilvl w:val="0"/>
          <w:numId w:val="8"/>
        </w:numPr>
        <w:rPr>
          <w:rFonts w:asciiTheme="minorHAnsi" w:hAnsiTheme="minorHAnsi" w:cs="Times New Roman"/>
          <w:szCs w:val="24"/>
        </w:rPr>
      </w:pPr>
      <w:r w:rsidRPr="00595B5D">
        <w:rPr>
          <w:rFonts w:asciiTheme="minorHAnsi" w:hAnsiTheme="minorHAnsi" w:cs="Times New Roman"/>
          <w:szCs w:val="24"/>
        </w:rPr>
        <w:t xml:space="preserve">Idling of vehicles for </w:t>
      </w:r>
      <w:r>
        <w:rPr>
          <w:rFonts w:asciiTheme="minorHAnsi" w:hAnsiTheme="minorHAnsi" w:cs="Times New Roman"/>
          <w:szCs w:val="24"/>
        </w:rPr>
        <w:t>more than two minutes is prohibited at all</w:t>
      </w:r>
      <w:r w:rsidRPr="00595B5D">
        <w:rPr>
          <w:rFonts w:asciiTheme="minorHAnsi" w:hAnsiTheme="minorHAnsi" w:cs="Times New Roman"/>
          <w:szCs w:val="24"/>
        </w:rPr>
        <w:t xml:space="preserve"> WSU </w:t>
      </w:r>
      <w:r>
        <w:rPr>
          <w:rFonts w:asciiTheme="minorHAnsi" w:hAnsiTheme="minorHAnsi" w:cs="Times New Roman"/>
          <w:szCs w:val="24"/>
        </w:rPr>
        <w:t>campuses</w:t>
      </w:r>
      <w:r w:rsidRPr="00595B5D">
        <w:rPr>
          <w:rFonts w:asciiTheme="minorHAnsi" w:hAnsiTheme="minorHAnsi" w:cs="Times New Roman"/>
          <w:szCs w:val="24"/>
        </w:rPr>
        <w:t xml:space="preserve">. Exceptions are made for emergency vehicles, including police, fire, and ambulances, </w:t>
      </w:r>
      <w:r>
        <w:rPr>
          <w:rFonts w:asciiTheme="minorHAnsi" w:hAnsiTheme="minorHAnsi" w:cs="Times New Roman"/>
          <w:szCs w:val="24"/>
        </w:rPr>
        <w:t xml:space="preserve">for parking enforcement vehicles when emergency lights are running, </w:t>
      </w:r>
      <w:r w:rsidRPr="00595B5D">
        <w:rPr>
          <w:rFonts w:asciiTheme="minorHAnsi" w:hAnsiTheme="minorHAnsi" w:cs="Times New Roman"/>
          <w:szCs w:val="24"/>
        </w:rPr>
        <w:t>and for vehicles stopped in traffic or for traffic control devices.</w:t>
      </w:r>
    </w:p>
    <w:p w:rsidR="00595B5D" w:rsidRPr="00595B5D" w:rsidRDefault="00595B5D" w:rsidP="00595B5D">
      <w:pPr>
        <w:pStyle w:val="ListParagraph"/>
        <w:numPr>
          <w:ilvl w:val="0"/>
          <w:numId w:val="8"/>
        </w:numPr>
        <w:rPr>
          <w:rFonts w:asciiTheme="minorHAnsi" w:hAnsiTheme="minorHAnsi" w:cs="Times New Roman"/>
          <w:szCs w:val="24"/>
        </w:rPr>
      </w:pPr>
      <w:r>
        <w:rPr>
          <w:rFonts w:asciiTheme="minorHAnsi" w:hAnsiTheme="minorHAnsi" w:cs="Times New Roman"/>
          <w:szCs w:val="24"/>
        </w:rPr>
        <w:t>An unattended vehicle left idling is a clear violation of this policy and may be subject to university sanctions.</w:t>
      </w:r>
    </w:p>
    <w:p w:rsidR="00B24D5D" w:rsidRPr="00595B5D" w:rsidRDefault="00B24D5D" w:rsidP="00B24D5D">
      <w:pPr>
        <w:tabs>
          <w:tab w:val="left" w:pos="-1440"/>
        </w:tabs>
        <w:rPr>
          <w:rFonts w:asciiTheme="minorHAnsi" w:hAnsiTheme="minorHAnsi" w:cs="Calibri"/>
          <w:b/>
          <w:bCs/>
        </w:rPr>
      </w:pPr>
      <w:r w:rsidRPr="00595B5D">
        <w:rPr>
          <w:rFonts w:asciiTheme="minorHAnsi" w:hAnsiTheme="minorHAnsi" w:cs="Calibri"/>
          <w:b/>
          <w:bCs/>
        </w:rPr>
        <w:t>ENFORCEMENT</w:t>
      </w:r>
    </w:p>
    <w:p w:rsidR="00B24D5D" w:rsidRPr="00595B5D" w:rsidRDefault="00B24D5D" w:rsidP="00B24D5D">
      <w:pPr>
        <w:widowControl w:val="0"/>
        <w:numPr>
          <w:ilvl w:val="0"/>
          <w:numId w:val="7"/>
        </w:numPr>
        <w:tabs>
          <w:tab w:val="left" w:pos="-1440"/>
        </w:tabs>
        <w:autoSpaceDE w:val="0"/>
        <w:autoSpaceDN w:val="0"/>
        <w:adjustRightInd w:val="0"/>
        <w:spacing w:after="0" w:line="240" w:lineRule="auto"/>
        <w:rPr>
          <w:rFonts w:asciiTheme="minorHAnsi" w:hAnsiTheme="minorHAnsi" w:cs="Calibri"/>
          <w:bCs/>
        </w:rPr>
      </w:pPr>
      <w:r w:rsidRPr="00595B5D">
        <w:rPr>
          <w:rFonts w:asciiTheme="minorHAnsi" w:hAnsiTheme="minorHAnsi" w:cs="Calibri"/>
          <w:bCs/>
        </w:rPr>
        <w:t xml:space="preserve">Through education and signage the university hopes </w:t>
      </w:r>
      <w:r w:rsidR="0071376B" w:rsidRPr="00595B5D">
        <w:rPr>
          <w:rFonts w:asciiTheme="minorHAnsi" w:hAnsiTheme="minorHAnsi" w:cs="Calibri"/>
          <w:bCs/>
        </w:rPr>
        <w:t xml:space="preserve">to </w:t>
      </w:r>
      <w:r w:rsidRPr="00595B5D">
        <w:rPr>
          <w:rFonts w:asciiTheme="minorHAnsi" w:hAnsiTheme="minorHAnsi" w:cs="Calibri"/>
          <w:bCs/>
        </w:rPr>
        <w:t>achieve self-compliance.</w:t>
      </w:r>
    </w:p>
    <w:p w:rsidR="00B24D5D" w:rsidRPr="00595B5D" w:rsidRDefault="00B24D5D" w:rsidP="00B24D5D">
      <w:pPr>
        <w:widowControl w:val="0"/>
        <w:numPr>
          <w:ilvl w:val="0"/>
          <w:numId w:val="7"/>
        </w:numPr>
        <w:tabs>
          <w:tab w:val="left" w:pos="-1440"/>
        </w:tabs>
        <w:autoSpaceDE w:val="0"/>
        <w:autoSpaceDN w:val="0"/>
        <w:adjustRightInd w:val="0"/>
        <w:spacing w:after="0" w:line="240" w:lineRule="auto"/>
        <w:rPr>
          <w:rFonts w:asciiTheme="minorHAnsi" w:hAnsiTheme="minorHAnsi" w:cs="Calibri"/>
          <w:bCs/>
        </w:rPr>
      </w:pPr>
      <w:r w:rsidRPr="00595B5D">
        <w:rPr>
          <w:rFonts w:asciiTheme="minorHAnsi" w:hAnsiTheme="minorHAnsi" w:cs="Calibri"/>
          <w:bCs/>
        </w:rPr>
        <w:t xml:space="preserve">The use of environmental ambassadors </w:t>
      </w:r>
      <w:r w:rsidR="00772E6A">
        <w:rPr>
          <w:rFonts w:asciiTheme="minorHAnsi" w:hAnsiTheme="minorHAnsi" w:cs="Calibri"/>
          <w:bCs/>
        </w:rPr>
        <w:t xml:space="preserve">and parking services personnel </w:t>
      </w:r>
      <w:r w:rsidRPr="00595B5D">
        <w:rPr>
          <w:rFonts w:asciiTheme="minorHAnsi" w:hAnsiTheme="minorHAnsi" w:cs="Calibri"/>
          <w:bCs/>
        </w:rPr>
        <w:t>would be the second level of enforcement.</w:t>
      </w:r>
    </w:p>
    <w:p w:rsidR="00B24D5D" w:rsidRPr="00595B5D" w:rsidRDefault="00B24D5D" w:rsidP="00B24D5D">
      <w:pPr>
        <w:widowControl w:val="0"/>
        <w:numPr>
          <w:ilvl w:val="0"/>
          <w:numId w:val="7"/>
        </w:numPr>
        <w:tabs>
          <w:tab w:val="left" w:pos="-1440"/>
        </w:tabs>
        <w:autoSpaceDE w:val="0"/>
        <w:autoSpaceDN w:val="0"/>
        <w:adjustRightInd w:val="0"/>
        <w:spacing w:after="0" w:line="240" w:lineRule="auto"/>
        <w:rPr>
          <w:rFonts w:asciiTheme="minorHAnsi" w:hAnsiTheme="minorHAnsi" w:cs="Calibri"/>
          <w:bCs/>
        </w:rPr>
      </w:pPr>
      <w:r w:rsidRPr="00595B5D">
        <w:rPr>
          <w:rFonts w:asciiTheme="minorHAnsi" w:hAnsiTheme="minorHAnsi" w:cs="Calibri"/>
          <w:bCs/>
        </w:rPr>
        <w:t>Reporting violations of the policy to Deans and supervisor</w:t>
      </w:r>
      <w:r w:rsidR="00772E6A">
        <w:rPr>
          <w:rFonts w:asciiTheme="minorHAnsi" w:hAnsiTheme="minorHAnsi" w:cs="Calibri"/>
          <w:bCs/>
        </w:rPr>
        <w:t>s</w:t>
      </w:r>
      <w:r w:rsidRPr="00595B5D">
        <w:rPr>
          <w:rFonts w:asciiTheme="minorHAnsi" w:hAnsiTheme="minorHAnsi" w:cs="Calibri"/>
          <w:bCs/>
        </w:rPr>
        <w:t xml:space="preserve"> would be the preferred third level of enforcement.</w:t>
      </w:r>
    </w:p>
    <w:p w:rsidR="00827042" w:rsidRPr="0071376B" w:rsidRDefault="00827042" w:rsidP="00827042">
      <w:pPr>
        <w:widowControl w:val="0"/>
        <w:numPr>
          <w:ilvl w:val="0"/>
          <w:numId w:val="7"/>
        </w:numPr>
        <w:tabs>
          <w:tab w:val="left" w:pos="-1440"/>
        </w:tabs>
        <w:autoSpaceDE w:val="0"/>
        <w:autoSpaceDN w:val="0"/>
        <w:adjustRightInd w:val="0"/>
        <w:spacing w:after="0" w:line="240" w:lineRule="auto"/>
        <w:rPr>
          <w:rFonts w:asciiTheme="minorHAnsi" w:hAnsiTheme="minorHAnsi" w:cs="Calibri"/>
          <w:bCs/>
        </w:rPr>
      </w:pPr>
      <w:r w:rsidRPr="0071376B">
        <w:rPr>
          <w:rFonts w:asciiTheme="minorHAnsi" w:hAnsiTheme="minorHAnsi" w:cs="Calibri"/>
          <w:bCs/>
        </w:rPr>
        <w:t>Persons who continue to violate this policy may be ordered by the university police to comply or be ordered to leave.  Failure to leave when ordered is a class C misdemeanor 76-8-704.</w:t>
      </w:r>
    </w:p>
    <w:p w:rsidR="00B24D5D" w:rsidRPr="00595B5D" w:rsidRDefault="00B24D5D" w:rsidP="00B24D5D">
      <w:pPr>
        <w:spacing w:after="240"/>
        <w:rPr>
          <w:rFonts w:asciiTheme="minorHAnsi" w:hAnsiTheme="minorHAnsi" w:cs="Calibri"/>
          <w:b/>
          <w:bCs/>
        </w:rPr>
      </w:pPr>
    </w:p>
    <w:p w:rsidR="00B24D5D" w:rsidRPr="00595B5D" w:rsidRDefault="00B24D5D" w:rsidP="00B24D5D">
      <w:pPr>
        <w:spacing w:after="240"/>
        <w:rPr>
          <w:rFonts w:asciiTheme="minorHAnsi" w:hAnsiTheme="minorHAnsi" w:cs="Calibri"/>
          <w:b/>
          <w:bCs/>
        </w:rPr>
      </w:pPr>
      <w:r w:rsidRPr="00595B5D">
        <w:rPr>
          <w:rFonts w:asciiTheme="minorHAnsi" w:hAnsiTheme="minorHAnsi" w:cs="Calibri"/>
          <w:b/>
          <w:bCs/>
        </w:rPr>
        <w:t>SA</w:t>
      </w:r>
      <w:r w:rsidR="0071376B" w:rsidRPr="00595B5D">
        <w:rPr>
          <w:rFonts w:asciiTheme="minorHAnsi" w:hAnsiTheme="minorHAnsi" w:cs="Calibri"/>
          <w:b/>
          <w:bCs/>
        </w:rPr>
        <w:t>N</w:t>
      </w:r>
      <w:r w:rsidRPr="00595B5D">
        <w:rPr>
          <w:rFonts w:asciiTheme="minorHAnsi" w:hAnsiTheme="minorHAnsi" w:cs="Calibri"/>
          <w:b/>
          <w:bCs/>
        </w:rPr>
        <w:t>CTIONS</w:t>
      </w:r>
    </w:p>
    <w:p w:rsidR="00B24D5D" w:rsidRPr="0071376B" w:rsidRDefault="00B24D5D" w:rsidP="00B24D5D">
      <w:pPr>
        <w:widowControl w:val="0"/>
        <w:numPr>
          <w:ilvl w:val="0"/>
          <w:numId w:val="6"/>
        </w:numPr>
        <w:spacing w:after="0" w:line="240" w:lineRule="auto"/>
        <w:rPr>
          <w:rFonts w:asciiTheme="minorHAnsi" w:hAnsiTheme="minorHAnsi" w:cs="Calibri"/>
        </w:rPr>
      </w:pPr>
      <w:r w:rsidRPr="00595B5D">
        <w:rPr>
          <w:rFonts w:asciiTheme="minorHAnsi" w:hAnsiTheme="minorHAnsi" w:cs="Calibri"/>
        </w:rPr>
        <w:t>Violation of this policy may result in disciplinary action up to and including termination of employment, expulsion from school, trespass notice and/or criminal charges in accordance with the law.  Depending on the severity of the behavior, any individual who violates this policy who is not a University employee or student may be asked to leave the campus or University activity, escorted from the campus or University activity, or other appropriate actions, and may have criminal</w:t>
      </w:r>
      <w:r w:rsidRPr="0071376B">
        <w:rPr>
          <w:rFonts w:asciiTheme="minorHAnsi" w:hAnsiTheme="minorHAnsi" w:cs="Calibri"/>
        </w:rPr>
        <w:t xml:space="preserve"> charges filed against him or her, including, but not limited to, having a trespass notice </w:t>
      </w:r>
      <w:bookmarkStart w:id="0" w:name="_GoBack"/>
      <w:bookmarkEnd w:id="0"/>
      <w:r w:rsidRPr="0071376B">
        <w:rPr>
          <w:rFonts w:asciiTheme="minorHAnsi" w:hAnsiTheme="minorHAnsi" w:cs="Calibri"/>
        </w:rPr>
        <w:t>issued.</w:t>
      </w:r>
    </w:p>
    <w:p w:rsidR="00B24D5D" w:rsidRPr="0071376B" w:rsidRDefault="00B24D5D" w:rsidP="00B24D5D">
      <w:pPr>
        <w:ind w:left="720"/>
        <w:rPr>
          <w:rFonts w:asciiTheme="minorHAnsi" w:hAnsiTheme="minorHAnsi" w:cs="Calibri"/>
        </w:rPr>
      </w:pPr>
    </w:p>
    <w:p w:rsidR="00B24D5D" w:rsidRPr="0071376B" w:rsidRDefault="00B24D5D" w:rsidP="00B24D5D">
      <w:pPr>
        <w:widowControl w:val="0"/>
        <w:numPr>
          <w:ilvl w:val="0"/>
          <w:numId w:val="6"/>
        </w:numPr>
        <w:tabs>
          <w:tab w:val="left" w:pos="-1440"/>
        </w:tabs>
        <w:autoSpaceDE w:val="0"/>
        <w:autoSpaceDN w:val="0"/>
        <w:adjustRightInd w:val="0"/>
        <w:spacing w:after="0" w:line="240" w:lineRule="auto"/>
        <w:rPr>
          <w:rFonts w:asciiTheme="minorHAnsi" w:hAnsiTheme="minorHAnsi"/>
        </w:rPr>
      </w:pPr>
      <w:r w:rsidRPr="0071376B">
        <w:rPr>
          <w:rFonts w:asciiTheme="minorHAnsi" w:hAnsiTheme="minorHAnsi" w:cs="Calibri"/>
        </w:rPr>
        <w:t>Any sanction recommended pursuant to this policy will be made to the appropriate body for handling disciplinary actions against the individual accused of violating this policy.  Students, faculty and staff will have due process rights as outlined in PPMs 3-33, Discipline (Staff Employees), 6-22, Student Code, and Section 9, Academic Freedom, Rights, Responsibilities and Due Process, as applicable.</w:t>
      </w:r>
      <w:r w:rsidRPr="0071376B" w:rsidDel="00C7294E">
        <w:rPr>
          <w:rFonts w:asciiTheme="minorHAnsi" w:hAnsiTheme="minorHAnsi" w:cs="Calibri"/>
        </w:rPr>
        <w:t xml:space="preserve"> </w:t>
      </w:r>
    </w:p>
    <w:p w:rsidR="00B24D5D" w:rsidRDefault="00B24D5D" w:rsidP="00B24D5D">
      <w:pPr>
        <w:tabs>
          <w:tab w:val="left" w:pos="-1440"/>
        </w:tabs>
        <w:spacing w:after="240"/>
      </w:pPr>
    </w:p>
    <w:p w:rsidR="00B24D5D" w:rsidRDefault="00B24D5D" w:rsidP="00B24D5D">
      <w:pPr>
        <w:tabs>
          <w:tab w:val="left" w:pos="-1440"/>
        </w:tabs>
      </w:pPr>
    </w:p>
    <w:p w:rsidR="00B24D5D" w:rsidRDefault="00B24D5D" w:rsidP="00B24D5D"/>
    <w:p w:rsidR="00224894" w:rsidRPr="00FE735F" w:rsidRDefault="00224894" w:rsidP="00FE735F"/>
    <w:sectPr w:rsidR="00224894" w:rsidRPr="00FE735F" w:rsidSect="00C75C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B5D" w:rsidRDefault="00595B5D" w:rsidP="002D55BC">
      <w:pPr>
        <w:spacing w:after="0" w:line="240" w:lineRule="auto"/>
      </w:pPr>
      <w:r>
        <w:separator/>
      </w:r>
    </w:p>
  </w:endnote>
  <w:endnote w:type="continuationSeparator" w:id="0">
    <w:p w:rsidR="00595B5D" w:rsidRDefault="00595B5D" w:rsidP="002D5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F" w:rsidRDefault="007306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F" w:rsidRDefault="007306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F" w:rsidRDefault="00730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B5D" w:rsidRDefault="00595B5D" w:rsidP="002D55BC">
      <w:pPr>
        <w:spacing w:after="0" w:line="240" w:lineRule="auto"/>
      </w:pPr>
      <w:r>
        <w:separator/>
      </w:r>
    </w:p>
  </w:footnote>
  <w:footnote w:type="continuationSeparator" w:id="0">
    <w:p w:rsidR="00595B5D" w:rsidRDefault="00595B5D" w:rsidP="002D5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F" w:rsidRDefault="007306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F" w:rsidRDefault="007306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tblPr>
    <w:tblGrid>
      <w:gridCol w:w="2713"/>
      <w:gridCol w:w="4147"/>
      <w:gridCol w:w="1258"/>
      <w:gridCol w:w="1458"/>
    </w:tblGrid>
    <w:tr w:rsidR="00595B5D" w:rsidRPr="00B24D5D" w:rsidTr="00EE23E6">
      <w:tc>
        <w:tcPr>
          <w:tcW w:w="2713" w:type="dxa"/>
          <w:vMerge w:val="restart"/>
          <w:vAlign w:val="center"/>
        </w:tcPr>
        <w:p w:rsidR="00595B5D" w:rsidRPr="00B24D5D" w:rsidRDefault="00595B5D" w:rsidP="00EE23E6">
          <w:pPr>
            <w:pStyle w:val="Header"/>
            <w:jc w:val="center"/>
            <w:rPr>
              <w:b/>
            </w:rPr>
          </w:pPr>
          <w:r w:rsidRPr="00B24D5D">
            <w:rPr>
              <w:b/>
              <w:noProof/>
            </w:rPr>
            <w:drawing>
              <wp:inline distT="0" distB="0" distL="0" distR="0">
                <wp:extent cx="1143000" cy="546100"/>
                <wp:effectExtent l="0" t="0" r="0" b="6350"/>
                <wp:docPr id="3" name="Picture 3" descr="C:\Users\vernmorgan\Pictures\weber state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nmorgan\Pictures\weber state small 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546100"/>
                        </a:xfrm>
                        <a:prstGeom prst="rect">
                          <a:avLst/>
                        </a:prstGeom>
                        <a:noFill/>
                        <a:ln>
                          <a:noFill/>
                        </a:ln>
                      </pic:spPr>
                    </pic:pic>
                  </a:graphicData>
                </a:graphic>
              </wp:inline>
            </w:drawing>
          </w:r>
        </w:p>
      </w:tc>
      <w:tc>
        <w:tcPr>
          <w:tcW w:w="4147" w:type="dxa"/>
          <w:vMerge w:val="restart"/>
          <w:vAlign w:val="center"/>
        </w:tcPr>
        <w:p w:rsidR="00595B5D" w:rsidRPr="00B24D5D" w:rsidRDefault="0073068F" w:rsidP="00CC0E99">
          <w:pPr>
            <w:pStyle w:val="Header"/>
            <w:jc w:val="center"/>
            <w:rPr>
              <w:b/>
            </w:rPr>
          </w:pPr>
          <w:r>
            <w:rPr>
              <w:b/>
            </w:rPr>
            <w:t>Idle-Free Policy</w:t>
          </w:r>
        </w:p>
      </w:tc>
      <w:tc>
        <w:tcPr>
          <w:tcW w:w="1258" w:type="dxa"/>
        </w:tcPr>
        <w:p w:rsidR="00595B5D" w:rsidRPr="00B24D5D" w:rsidRDefault="00595B5D">
          <w:pPr>
            <w:pStyle w:val="Header"/>
            <w:rPr>
              <w:b/>
            </w:rPr>
          </w:pPr>
          <w:r w:rsidRPr="00B24D5D">
            <w:rPr>
              <w:b/>
            </w:rPr>
            <w:t xml:space="preserve">PPM </w:t>
          </w:r>
          <w:r>
            <w:rPr>
              <w:b/>
            </w:rPr>
            <w:t>5-49</w:t>
          </w:r>
        </w:p>
      </w:tc>
      <w:tc>
        <w:tcPr>
          <w:tcW w:w="1458" w:type="dxa"/>
        </w:tcPr>
        <w:p w:rsidR="00595B5D" w:rsidRPr="00B24D5D" w:rsidRDefault="00595B5D">
          <w:pPr>
            <w:pStyle w:val="Header"/>
            <w:rPr>
              <w:b/>
            </w:rPr>
          </w:pPr>
          <w:r w:rsidRPr="00B24D5D">
            <w:rPr>
              <w:b/>
            </w:rPr>
            <w:t>Version 1</w:t>
          </w:r>
        </w:p>
      </w:tc>
    </w:tr>
    <w:tr w:rsidR="00595B5D" w:rsidRPr="00B24D5D" w:rsidTr="00EE23E6">
      <w:trPr>
        <w:trHeight w:val="467"/>
      </w:trPr>
      <w:tc>
        <w:tcPr>
          <w:tcW w:w="2713" w:type="dxa"/>
          <w:vMerge/>
        </w:tcPr>
        <w:p w:rsidR="00595B5D" w:rsidRPr="00B24D5D" w:rsidRDefault="00595B5D">
          <w:pPr>
            <w:pStyle w:val="Header"/>
            <w:rPr>
              <w:b/>
            </w:rPr>
          </w:pPr>
        </w:p>
      </w:tc>
      <w:tc>
        <w:tcPr>
          <w:tcW w:w="4147" w:type="dxa"/>
          <w:vMerge/>
          <w:vAlign w:val="center"/>
        </w:tcPr>
        <w:p w:rsidR="00595B5D" w:rsidRPr="00B24D5D" w:rsidRDefault="00595B5D" w:rsidP="00D8121E">
          <w:pPr>
            <w:pStyle w:val="Header"/>
            <w:jc w:val="center"/>
            <w:rPr>
              <w:b/>
            </w:rPr>
          </w:pPr>
        </w:p>
      </w:tc>
      <w:tc>
        <w:tcPr>
          <w:tcW w:w="2716" w:type="dxa"/>
          <w:gridSpan w:val="2"/>
          <w:vAlign w:val="center"/>
        </w:tcPr>
        <w:p w:rsidR="00595B5D" w:rsidRPr="00B24D5D" w:rsidRDefault="00595B5D" w:rsidP="00B24D5D">
          <w:pPr>
            <w:pStyle w:val="Header"/>
            <w:jc w:val="center"/>
            <w:rPr>
              <w:b/>
            </w:rPr>
          </w:pPr>
          <w:r>
            <w:rPr>
              <w:b/>
            </w:rPr>
            <w:t>2/8</w:t>
          </w:r>
          <w:r w:rsidRPr="00B24D5D">
            <w:rPr>
              <w:b/>
            </w:rPr>
            <w:t>/13</w:t>
          </w:r>
        </w:p>
      </w:tc>
    </w:tr>
  </w:tbl>
  <w:p w:rsidR="00595B5D" w:rsidRDefault="00595B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20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973D53"/>
    <w:multiLevelType w:val="hybridMultilevel"/>
    <w:tmpl w:val="BDE8E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0F66E1"/>
    <w:multiLevelType w:val="hybridMultilevel"/>
    <w:tmpl w:val="F9CCC73A"/>
    <w:lvl w:ilvl="0" w:tplc="96FE381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6663C1"/>
    <w:multiLevelType w:val="hybridMultilevel"/>
    <w:tmpl w:val="2FB6CDC0"/>
    <w:lvl w:ilvl="0" w:tplc="D90C5D6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2082F"/>
    <w:multiLevelType w:val="hybridMultilevel"/>
    <w:tmpl w:val="225CAD0E"/>
    <w:lvl w:ilvl="0" w:tplc="92BCA5D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169BB"/>
    <w:multiLevelType w:val="hybridMultilevel"/>
    <w:tmpl w:val="DF30D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A645B2"/>
    <w:multiLevelType w:val="hybridMultilevel"/>
    <w:tmpl w:val="47E0F1C4"/>
    <w:lvl w:ilvl="0" w:tplc="71CADC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BE304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1"/>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2D55BC"/>
    <w:rsid w:val="000231D9"/>
    <w:rsid w:val="00042CB3"/>
    <w:rsid w:val="00066E22"/>
    <w:rsid w:val="000A015E"/>
    <w:rsid w:val="000B39B1"/>
    <w:rsid w:val="000E2333"/>
    <w:rsid w:val="000F1D8A"/>
    <w:rsid w:val="000F2B4D"/>
    <w:rsid w:val="00115E88"/>
    <w:rsid w:val="0014404F"/>
    <w:rsid w:val="00165CA2"/>
    <w:rsid w:val="00182619"/>
    <w:rsid w:val="001E12E6"/>
    <w:rsid w:val="00201594"/>
    <w:rsid w:val="00215A53"/>
    <w:rsid w:val="00224894"/>
    <w:rsid w:val="0023768B"/>
    <w:rsid w:val="00242F55"/>
    <w:rsid w:val="00267ACB"/>
    <w:rsid w:val="00294D75"/>
    <w:rsid w:val="002C19CD"/>
    <w:rsid w:val="002D0FA0"/>
    <w:rsid w:val="002D55BC"/>
    <w:rsid w:val="0033179A"/>
    <w:rsid w:val="00386521"/>
    <w:rsid w:val="003F6FE9"/>
    <w:rsid w:val="004027D1"/>
    <w:rsid w:val="004578AE"/>
    <w:rsid w:val="00467959"/>
    <w:rsid w:val="004756E7"/>
    <w:rsid w:val="0048074C"/>
    <w:rsid w:val="00481F68"/>
    <w:rsid w:val="00492E74"/>
    <w:rsid w:val="004B45CD"/>
    <w:rsid w:val="004B50A1"/>
    <w:rsid w:val="00533794"/>
    <w:rsid w:val="00542ACE"/>
    <w:rsid w:val="00566D9D"/>
    <w:rsid w:val="00583052"/>
    <w:rsid w:val="00595B5D"/>
    <w:rsid w:val="005A6520"/>
    <w:rsid w:val="005A6892"/>
    <w:rsid w:val="005B4DA5"/>
    <w:rsid w:val="005C0E99"/>
    <w:rsid w:val="005D3588"/>
    <w:rsid w:val="005D4A40"/>
    <w:rsid w:val="005E0760"/>
    <w:rsid w:val="005E7169"/>
    <w:rsid w:val="00604977"/>
    <w:rsid w:val="006855E3"/>
    <w:rsid w:val="00685E20"/>
    <w:rsid w:val="006C4084"/>
    <w:rsid w:val="006C4577"/>
    <w:rsid w:val="006D4D13"/>
    <w:rsid w:val="0071376B"/>
    <w:rsid w:val="00713E03"/>
    <w:rsid w:val="0073068F"/>
    <w:rsid w:val="00732F35"/>
    <w:rsid w:val="007354D1"/>
    <w:rsid w:val="00772E6A"/>
    <w:rsid w:val="00782171"/>
    <w:rsid w:val="007953E9"/>
    <w:rsid w:val="007C7EB2"/>
    <w:rsid w:val="008050ED"/>
    <w:rsid w:val="00822F19"/>
    <w:rsid w:val="00827042"/>
    <w:rsid w:val="008605B0"/>
    <w:rsid w:val="0087780A"/>
    <w:rsid w:val="008B0AAE"/>
    <w:rsid w:val="008E41D8"/>
    <w:rsid w:val="00944634"/>
    <w:rsid w:val="009E4857"/>
    <w:rsid w:val="00A134BE"/>
    <w:rsid w:val="00A23982"/>
    <w:rsid w:val="00A5593A"/>
    <w:rsid w:val="00AB73F6"/>
    <w:rsid w:val="00AE64AC"/>
    <w:rsid w:val="00B05E3F"/>
    <w:rsid w:val="00B22BC0"/>
    <w:rsid w:val="00B24D5D"/>
    <w:rsid w:val="00BB0397"/>
    <w:rsid w:val="00C44AB9"/>
    <w:rsid w:val="00C75C17"/>
    <w:rsid w:val="00C81791"/>
    <w:rsid w:val="00CC0E99"/>
    <w:rsid w:val="00D008B1"/>
    <w:rsid w:val="00D03661"/>
    <w:rsid w:val="00D256FC"/>
    <w:rsid w:val="00D50588"/>
    <w:rsid w:val="00D743B3"/>
    <w:rsid w:val="00D8121E"/>
    <w:rsid w:val="00DB20AF"/>
    <w:rsid w:val="00DF1543"/>
    <w:rsid w:val="00DF439B"/>
    <w:rsid w:val="00E53E40"/>
    <w:rsid w:val="00E777C5"/>
    <w:rsid w:val="00E8601F"/>
    <w:rsid w:val="00EA0C1D"/>
    <w:rsid w:val="00ED29D5"/>
    <w:rsid w:val="00EE1A39"/>
    <w:rsid w:val="00EE23E6"/>
    <w:rsid w:val="00F062C1"/>
    <w:rsid w:val="00F24E2B"/>
    <w:rsid w:val="00F32C5F"/>
    <w:rsid w:val="00F61535"/>
    <w:rsid w:val="00F64EDC"/>
    <w:rsid w:val="00F93466"/>
    <w:rsid w:val="00FA7AA7"/>
    <w:rsid w:val="00FB1500"/>
    <w:rsid w:val="00FB739B"/>
    <w:rsid w:val="00FE0D26"/>
    <w:rsid w:val="00FE735F"/>
    <w:rsid w:val="00FF3038"/>
    <w:rsid w:val="00FF309C"/>
    <w:rsid w:val="00FF3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BC"/>
  </w:style>
  <w:style w:type="paragraph" w:styleId="Footer">
    <w:name w:val="footer"/>
    <w:basedOn w:val="Normal"/>
    <w:link w:val="FooterChar"/>
    <w:uiPriority w:val="99"/>
    <w:unhideWhenUsed/>
    <w:rsid w:val="002D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BC"/>
  </w:style>
  <w:style w:type="paragraph" w:styleId="ListParagraph">
    <w:name w:val="List Paragraph"/>
    <w:basedOn w:val="Normal"/>
    <w:uiPriority w:val="34"/>
    <w:qFormat/>
    <w:rsid w:val="002D0FA0"/>
    <w:pPr>
      <w:ind w:left="720"/>
      <w:contextualSpacing/>
    </w:pPr>
  </w:style>
  <w:style w:type="paragraph" w:styleId="BalloonText">
    <w:name w:val="Balloon Text"/>
    <w:basedOn w:val="Normal"/>
    <w:link w:val="BalloonTextChar"/>
    <w:uiPriority w:val="99"/>
    <w:semiHidden/>
    <w:unhideWhenUsed/>
    <w:rsid w:val="0079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E9"/>
    <w:rPr>
      <w:rFonts w:ascii="Tahoma" w:hAnsi="Tahoma" w:cs="Tahoma"/>
      <w:sz w:val="16"/>
      <w:szCs w:val="16"/>
    </w:rPr>
  </w:style>
  <w:style w:type="table" w:styleId="TableGrid">
    <w:name w:val="Table Grid"/>
    <w:basedOn w:val="TableNormal"/>
    <w:uiPriority w:val="59"/>
    <w:rsid w:val="00C75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50A1"/>
    <w:rPr>
      <w:sz w:val="16"/>
      <w:szCs w:val="16"/>
    </w:rPr>
  </w:style>
  <w:style w:type="paragraph" w:styleId="CommentText">
    <w:name w:val="annotation text"/>
    <w:basedOn w:val="Normal"/>
    <w:link w:val="CommentTextChar"/>
    <w:uiPriority w:val="99"/>
    <w:semiHidden/>
    <w:unhideWhenUsed/>
    <w:rsid w:val="004B50A1"/>
    <w:pPr>
      <w:spacing w:line="240" w:lineRule="auto"/>
    </w:pPr>
    <w:rPr>
      <w:sz w:val="20"/>
      <w:szCs w:val="20"/>
    </w:rPr>
  </w:style>
  <w:style w:type="character" w:customStyle="1" w:styleId="CommentTextChar">
    <w:name w:val="Comment Text Char"/>
    <w:basedOn w:val="DefaultParagraphFont"/>
    <w:link w:val="CommentText"/>
    <w:uiPriority w:val="99"/>
    <w:semiHidden/>
    <w:rsid w:val="004B50A1"/>
    <w:rPr>
      <w:sz w:val="20"/>
      <w:szCs w:val="20"/>
    </w:rPr>
  </w:style>
  <w:style w:type="paragraph" w:styleId="CommentSubject">
    <w:name w:val="annotation subject"/>
    <w:basedOn w:val="CommentText"/>
    <w:next w:val="CommentText"/>
    <w:link w:val="CommentSubjectChar"/>
    <w:uiPriority w:val="99"/>
    <w:semiHidden/>
    <w:unhideWhenUsed/>
    <w:rsid w:val="004B50A1"/>
    <w:rPr>
      <w:b/>
      <w:bCs/>
    </w:rPr>
  </w:style>
  <w:style w:type="character" w:customStyle="1" w:styleId="CommentSubjectChar">
    <w:name w:val="Comment Subject Char"/>
    <w:basedOn w:val="CommentTextChar"/>
    <w:link w:val="CommentSubject"/>
    <w:uiPriority w:val="99"/>
    <w:semiHidden/>
    <w:rsid w:val="004B50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BC"/>
  </w:style>
  <w:style w:type="paragraph" w:styleId="Footer">
    <w:name w:val="footer"/>
    <w:basedOn w:val="Normal"/>
    <w:link w:val="FooterChar"/>
    <w:uiPriority w:val="99"/>
    <w:unhideWhenUsed/>
    <w:rsid w:val="002D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BC"/>
  </w:style>
  <w:style w:type="paragraph" w:styleId="ListParagraph">
    <w:name w:val="List Paragraph"/>
    <w:basedOn w:val="Normal"/>
    <w:uiPriority w:val="34"/>
    <w:qFormat/>
    <w:rsid w:val="002D0FA0"/>
    <w:pPr>
      <w:ind w:left="720"/>
      <w:contextualSpacing/>
    </w:pPr>
  </w:style>
  <w:style w:type="paragraph" w:styleId="BalloonText">
    <w:name w:val="Balloon Text"/>
    <w:basedOn w:val="Normal"/>
    <w:link w:val="BalloonTextChar"/>
    <w:uiPriority w:val="99"/>
    <w:semiHidden/>
    <w:unhideWhenUsed/>
    <w:rsid w:val="0079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E9"/>
    <w:rPr>
      <w:rFonts w:ascii="Tahoma" w:hAnsi="Tahoma" w:cs="Tahoma"/>
      <w:sz w:val="16"/>
      <w:szCs w:val="16"/>
    </w:rPr>
  </w:style>
  <w:style w:type="table" w:styleId="TableGrid">
    <w:name w:val="Table Grid"/>
    <w:basedOn w:val="TableNormal"/>
    <w:uiPriority w:val="59"/>
    <w:rsid w:val="00C75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50A1"/>
    <w:rPr>
      <w:sz w:val="16"/>
      <w:szCs w:val="16"/>
    </w:rPr>
  </w:style>
  <w:style w:type="paragraph" w:styleId="CommentText">
    <w:name w:val="annotation text"/>
    <w:basedOn w:val="Normal"/>
    <w:link w:val="CommentTextChar"/>
    <w:uiPriority w:val="99"/>
    <w:semiHidden/>
    <w:unhideWhenUsed/>
    <w:rsid w:val="004B50A1"/>
    <w:pPr>
      <w:spacing w:line="240" w:lineRule="auto"/>
    </w:pPr>
    <w:rPr>
      <w:sz w:val="20"/>
      <w:szCs w:val="20"/>
    </w:rPr>
  </w:style>
  <w:style w:type="character" w:customStyle="1" w:styleId="CommentTextChar">
    <w:name w:val="Comment Text Char"/>
    <w:basedOn w:val="DefaultParagraphFont"/>
    <w:link w:val="CommentText"/>
    <w:uiPriority w:val="99"/>
    <w:semiHidden/>
    <w:rsid w:val="004B50A1"/>
    <w:rPr>
      <w:sz w:val="20"/>
      <w:szCs w:val="20"/>
    </w:rPr>
  </w:style>
  <w:style w:type="paragraph" w:styleId="CommentSubject">
    <w:name w:val="annotation subject"/>
    <w:basedOn w:val="CommentText"/>
    <w:next w:val="CommentText"/>
    <w:link w:val="CommentSubjectChar"/>
    <w:uiPriority w:val="99"/>
    <w:semiHidden/>
    <w:unhideWhenUsed/>
    <w:rsid w:val="004B50A1"/>
    <w:rPr>
      <w:b/>
      <w:bCs/>
    </w:rPr>
  </w:style>
  <w:style w:type="character" w:customStyle="1" w:styleId="CommentSubjectChar">
    <w:name w:val="Comment Subject Char"/>
    <w:basedOn w:val="CommentTextChar"/>
    <w:link w:val="CommentSubject"/>
    <w:uiPriority w:val="99"/>
    <w:semiHidden/>
    <w:rsid w:val="004B50A1"/>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ABF74-0174-4E17-B31E-A178D4FE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 Morgan</dc:creator>
  <cp:lastModifiedBy>hcrimmel</cp:lastModifiedBy>
  <cp:revision>7</cp:revision>
  <cp:lastPrinted>2013-02-07T15:45:00Z</cp:lastPrinted>
  <dcterms:created xsi:type="dcterms:W3CDTF">2013-02-08T19:19:00Z</dcterms:created>
  <dcterms:modified xsi:type="dcterms:W3CDTF">2013-02-11T19:34:00Z</dcterms:modified>
</cp:coreProperties>
</file>