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7A" w:rsidRPr="003A3E6A" w:rsidRDefault="00F6017A" w:rsidP="008559E4">
      <w:pPr>
        <w:jc w:val="center"/>
        <w:rPr>
          <w:b/>
          <w:u w:val="single"/>
        </w:rPr>
      </w:pPr>
    </w:p>
    <w:p w:rsidR="00954580" w:rsidRDefault="00954580" w:rsidP="008559E4">
      <w:pPr>
        <w:jc w:val="center"/>
        <w:rPr>
          <w:b/>
          <w:u w:val="single"/>
        </w:rPr>
      </w:pPr>
      <w:r>
        <w:rPr>
          <w:b/>
          <w:u w:val="single"/>
        </w:rPr>
        <w:t>ENTR100</w:t>
      </w:r>
      <w:r w:rsidR="0086001D">
        <w:rPr>
          <w:b/>
          <w:u w:val="single"/>
        </w:rPr>
        <w:t>4</w:t>
      </w:r>
      <w:r>
        <w:rPr>
          <w:b/>
          <w:u w:val="single"/>
        </w:rPr>
        <w:t xml:space="preserve">   </w:t>
      </w:r>
      <w:r w:rsidR="0086001D">
        <w:rPr>
          <w:b/>
          <w:u w:val="single"/>
        </w:rPr>
        <w:t>Entreprene</w:t>
      </w:r>
      <w:r w:rsidR="005F03E4">
        <w:rPr>
          <w:b/>
          <w:u w:val="single"/>
        </w:rPr>
        <w:t>urial Fina</w:t>
      </w:r>
      <w:r w:rsidR="0086001D">
        <w:rPr>
          <w:b/>
          <w:u w:val="single"/>
        </w:rPr>
        <w:t>nce – Bootstrapping, Accounting &amp; Survival</w:t>
      </w:r>
    </w:p>
    <w:p w:rsidR="00E63815" w:rsidRPr="00954580" w:rsidRDefault="008E108A" w:rsidP="008559E4">
      <w:pPr>
        <w:jc w:val="center"/>
      </w:pPr>
      <w:r w:rsidRPr="00954580">
        <w:t>Draft</w:t>
      </w:r>
      <w:r w:rsidR="008559E4" w:rsidRPr="00954580">
        <w:t xml:space="preserve"> Syllabus</w:t>
      </w:r>
    </w:p>
    <w:p w:rsidR="000815B2" w:rsidRPr="003A3E6A" w:rsidRDefault="000815B2" w:rsidP="003A3E6A">
      <w:pPr>
        <w:jc w:val="both"/>
        <w:rPr>
          <w:b/>
          <w:u w:val="single"/>
        </w:rPr>
      </w:pPr>
    </w:p>
    <w:p w:rsidR="000815B2" w:rsidRPr="003A3E6A" w:rsidRDefault="000815B2" w:rsidP="003A3E6A">
      <w:pPr>
        <w:jc w:val="both"/>
      </w:pPr>
      <w:r w:rsidRPr="003A3E6A">
        <w:rPr>
          <w:b/>
        </w:rPr>
        <w:t xml:space="preserve">Instructor:  </w:t>
      </w:r>
      <w:r w:rsidR="008E108A">
        <w:t>TBD</w:t>
      </w:r>
    </w:p>
    <w:p w:rsidR="000815B2" w:rsidRPr="003A3E6A" w:rsidRDefault="000815B2" w:rsidP="003A3E6A">
      <w:pPr>
        <w:jc w:val="both"/>
      </w:pPr>
      <w:r w:rsidRPr="003A3E6A">
        <w:rPr>
          <w:b/>
        </w:rPr>
        <w:t xml:space="preserve">Classroom:  </w:t>
      </w:r>
      <w:r w:rsidR="001475F5" w:rsidRPr="003A3E6A">
        <w:t>TBD</w:t>
      </w:r>
    </w:p>
    <w:p w:rsidR="000815B2" w:rsidRPr="003A3E6A" w:rsidRDefault="000815B2" w:rsidP="003A3E6A">
      <w:r w:rsidRPr="003A3E6A">
        <w:rPr>
          <w:b/>
        </w:rPr>
        <w:t xml:space="preserve">Office:  </w:t>
      </w:r>
      <w:r w:rsidR="008E108A">
        <w:t>TBD</w:t>
      </w:r>
    </w:p>
    <w:p w:rsidR="007B6D3F" w:rsidRPr="003A3E6A" w:rsidRDefault="000815B2" w:rsidP="003A3E6A">
      <w:pPr>
        <w:jc w:val="both"/>
      </w:pPr>
      <w:r w:rsidRPr="003A3E6A">
        <w:rPr>
          <w:b/>
        </w:rPr>
        <w:t xml:space="preserve">Office Hours:  </w:t>
      </w:r>
      <w:r w:rsidR="00541CA7">
        <w:t>TBD</w:t>
      </w:r>
    </w:p>
    <w:p w:rsidR="000815B2" w:rsidRPr="00541CA7" w:rsidRDefault="000815B2" w:rsidP="003A3E6A">
      <w:pPr>
        <w:jc w:val="both"/>
      </w:pPr>
      <w:r w:rsidRPr="003A3E6A">
        <w:rPr>
          <w:b/>
        </w:rPr>
        <w:t>Contact Information:</w:t>
      </w:r>
      <w:r w:rsidR="00541CA7">
        <w:rPr>
          <w:b/>
        </w:rPr>
        <w:t xml:space="preserve">  </w:t>
      </w:r>
      <w:r w:rsidR="00541CA7">
        <w:t>TBD</w:t>
      </w:r>
    </w:p>
    <w:p w:rsidR="00272256" w:rsidRPr="00A55BD3" w:rsidRDefault="00272256" w:rsidP="00272256">
      <w:r w:rsidRPr="00272256">
        <w:rPr>
          <w:b/>
        </w:rPr>
        <w:t>Prerequisites:</w:t>
      </w:r>
      <w:r w:rsidR="00E90E98">
        <w:t xml:space="preserve">  ENTR1001 or </w:t>
      </w:r>
      <w:r w:rsidR="00713554">
        <w:t>BSAD2899 or ECON 2899</w:t>
      </w:r>
      <w:bookmarkStart w:id="0" w:name="_GoBack"/>
      <w:bookmarkEnd w:id="0"/>
    </w:p>
    <w:p w:rsidR="00272256" w:rsidRDefault="00272256" w:rsidP="00272256"/>
    <w:p w:rsidR="00272256" w:rsidRDefault="00272256" w:rsidP="00272256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401A34">
        <w:rPr>
          <w:b/>
        </w:rPr>
        <w:t>Course Description:</w:t>
      </w:r>
      <w:r>
        <w:rPr>
          <w:b/>
        </w:rPr>
        <w:t xml:space="preserve">  </w:t>
      </w:r>
      <w:r>
        <w:t xml:space="preserve">Traditional accounting courses look at financial processes and learning from the perspective of the corporation or to train students to work at larger companies.  Entrepreneurship </w:t>
      </w:r>
      <w:r w:rsidRPr="00727C2C">
        <w:t>and entrepreneurial ventures have different financial and accounting needs</w:t>
      </w:r>
      <w:r>
        <w:t xml:space="preserve"> based on their size, cash flow, planning and situational urgency</w:t>
      </w:r>
      <w:r w:rsidRPr="00727C2C">
        <w:t xml:space="preserve">. </w:t>
      </w:r>
      <w:r>
        <w:t xml:space="preserve"> </w:t>
      </w:r>
      <w:r w:rsidRPr="00727C2C">
        <w:rPr>
          <w:rFonts w:cs="Arial"/>
        </w:rPr>
        <w:t xml:space="preserve">Students will learn about </w:t>
      </w:r>
      <w:r>
        <w:rPr>
          <w:rFonts w:cs="Arial"/>
        </w:rPr>
        <w:t xml:space="preserve">bank loans, business credit cards, investors, </w:t>
      </w:r>
      <w:r w:rsidRPr="00727C2C">
        <w:rPr>
          <w:rFonts w:cs="Arial"/>
        </w:rPr>
        <w:t xml:space="preserve">venture capital and </w:t>
      </w:r>
      <w:r>
        <w:rPr>
          <w:rFonts w:cs="Arial"/>
        </w:rPr>
        <w:t>other forms of traditional and non-traditional financing</w:t>
      </w:r>
      <w:r w:rsidRPr="00727C2C">
        <w:rPr>
          <w:rFonts w:cs="Arial"/>
        </w:rPr>
        <w:t xml:space="preserve">. </w:t>
      </w:r>
      <w:r>
        <w:rPr>
          <w:rFonts w:cs="Arial"/>
        </w:rPr>
        <w:t xml:space="preserve"> </w:t>
      </w:r>
      <w:r w:rsidRPr="00727C2C">
        <w:rPr>
          <w:rFonts w:cs="Arial"/>
        </w:rPr>
        <w:t>Le</w:t>
      </w:r>
      <w:r>
        <w:rPr>
          <w:rFonts w:cs="Arial"/>
        </w:rPr>
        <w:t xml:space="preserve">arning activities will include </w:t>
      </w:r>
      <w:r w:rsidRPr="00727C2C">
        <w:rPr>
          <w:rFonts w:cs="Arial"/>
        </w:rPr>
        <w:t xml:space="preserve">developing and evaluating </w:t>
      </w:r>
      <w:r>
        <w:rPr>
          <w:rFonts w:cs="Arial"/>
        </w:rPr>
        <w:t>the financial portion of a business model</w:t>
      </w:r>
      <w:r w:rsidRPr="00727C2C">
        <w:rPr>
          <w:rFonts w:cs="Arial"/>
        </w:rPr>
        <w:t>, valuation, deal structuring, and developing debt-structuring models. The course will explore the application of corporate finance tools to new venture and private equity transactions including forecast simulations and the applicatio</w:t>
      </w:r>
      <w:r>
        <w:rPr>
          <w:rFonts w:cs="Arial"/>
        </w:rPr>
        <w:t xml:space="preserve">n of real options.  The course will view finance from </w:t>
      </w:r>
      <w:r w:rsidRPr="00727C2C">
        <w:rPr>
          <w:rFonts w:cs="Arial"/>
        </w:rPr>
        <w:t>the entrepreneur</w:t>
      </w:r>
      <w:r>
        <w:rPr>
          <w:rFonts w:cs="Arial"/>
        </w:rPr>
        <w:t>, lender and investor’s perspectives.</w:t>
      </w:r>
    </w:p>
    <w:p w:rsidR="00262B80" w:rsidRDefault="00541CA7" w:rsidP="00541CA7">
      <w:pPr>
        <w:rPr>
          <w:rFonts w:cs="Arial"/>
        </w:rPr>
      </w:pPr>
      <w:r>
        <w:rPr>
          <w:b/>
        </w:rPr>
        <w:t>Learning Objectives</w:t>
      </w:r>
      <w:r w:rsidRPr="0099031E">
        <w:t xml:space="preserve">:  </w:t>
      </w:r>
      <w:r w:rsidR="005F03E4">
        <w:t xml:space="preserve">Traditional accounting courses </w:t>
      </w:r>
      <w:r w:rsidR="00262B80">
        <w:t>explore</w:t>
      </w:r>
      <w:r w:rsidR="005F03E4">
        <w:t xml:space="preserve"> financial processes and learning from the perspective of the corporation or to train students to work at larger companies.  Entrepreneurship </w:t>
      </w:r>
      <w:r w:rsidR="005F03E4" w:rsidRPr="00727C2C">
        <w:t>and entrepreneurial ventures have different financial and accounting needs</w:t>
      </w:r>
      <w:r w:rsidR="005F03E4">
        <w:t xml:space="preserve"> based on their size, cash flow, planning and situational urgency</w:t>
      </w:r>
      <w:r w:rsidR="005F03E4" w:rsidRPr="00727C2C">
        <w:t xml:space="preserve">. </w:t>
      </w:r>
      <w:r w:rsidR="005F03E4">
        <w:t xml:space="preserve"> </w:t>
      </w:r>
      <w:r w:rsidR="00262B80" w:rsidRPr="00262B80">
        <w:rPr>
          <w:rFonts w:cs="Arial"/>
        </w:rPr>
        <w:t>The course will view finance from the entrepreneur, lender and investor’s perspectives.</w:t>
      </w:r>
      <w:r w:rsidR="00262B80">
        <w:rPr>
          <w:rFonts w:cs="Arial"/>
        </w:rPr>
        <w:t xml:space="preserve"> </w:t>
      </w:r>
      <w:r w:rsidR="005F03E4" w:rsidRPr="00727C2C">
        <w:rPr>
          <w:rFonts w:cs="Arial"/>
        </w:rPr>
        <w:t xml:space="preserve">Students will </w:t>
      </w:r>
    </w:p>
    <w:p w:rsidR="00262B80" w:rsidRPr="00262B80" w:rsidRDefault="00262B80" w:rsidP="00262B80">
      <w:pPr>
        <w:pStyle w:val="ListParagraph"/>
        <w:numPr>
          <w:ilvl w:val="0"/>
          <w:numId w:val="4"/>
        </w:numPr>
        <w:rPr>
          <w:rFonts w:cs="Arial"/>
          <w:color w:val="333333"/>
        </w:rPr>
      </w:pPr>
      <w:r>
        <w:rPr>
          <w:rFonts w:cs="Arial"/>
        </w:rPr>
        <w:t>L</w:t>
      </w:r>
      <w:r w:rsidR="005F03E4" w:rsidRPr="00262B80">
        <w:rPr>
          <w:rFonts w:cs="Arial"/>
        </w:rPr>
        <w:t xml:space="preserve">earn about bank loans, business credit cards, investors, venture capital and other forms of traditional and non-traditional financing.  </w:t>
      </w:r>
    </w:p>
    <w:p w:rsidR="00262B80" w:rsidRPr="00262B80" w:rsidRDefault="00262B80" w:rsidP="00262B80">
      <w:pPr>
        <w:pStyle w:val="ListParagraph"/>
        <w:numPr>
          <w:ilvl w:val="0"/>
          <w:numId w:val="4"/>
        </w:numPr>
        <w:rPr>
          <w:rFonts w:cs="Arial"/>
          <w:color w:val="333333"/>
        </w:rPr>
      </w:pPr>
      <w:r>
        <w:rPr>
          <w:rFonts w:cs="Arial"/>
        </w:rPr>
        <w:t>Develop and evaluation</w:t>
      </w:r>
      <w:r w:rsidR="005F03E4" w:rsidRPr="00262B80">
        <w:rPr>
          <w:rFonts w:cs="Arial"/>
        </w:rPr>
        <w:t xml:space="preserve"> the financial portion of a business model, valuation, </w:t>
      </w:r>
      <w:proofErr w:type="gramStart"/>
      <w:r w:rsidR="005F03E4" w:rsidRPr="00262B80">
        <w:rPr>
          <w:rFonts w:cs="Arial"/>
        </w:rPr>
        <w:t>deal</w:t>
      </w:r>
      <w:proofErr w:type="gramEnd"/>
      <w:r w:rsidR="005F03E4" w:rsidRPr="00262B80">
        <w:rPr>
          <w:rFonts w:cs="Arial"/>
        </w:rPr>
        <w:t xml:space="preserve"> structuring,</w:t>
      </w:r>
      <w:r w:rsidR="00533218" w:rsidRPr="00262B80">
        <w:rPr>
          <w:rFonts w:cs="Arial"/>
        </w:rPr>
        <w:t xml:space="preserve"> and developing debt-structure</w:t>
      </w:r>
      <w:r w:rsidR="005F03E4" w:rsidRPr="00262B80">
        <w:rPr>
          <w:rFonts w:cs="Arial"/>
        </w:rPr>
        <w:t xml:space="preserve"> models. </w:t>
      </w:r>
    </w:p>
    <w:p w:rsidR="00262B80" w:rsidRPr="00262B80" w:rsidRDefault="00262B80" w:rsidP="00262B80">
      <w:pPr>
        <w:pStyle w:val="ListParagraph"/>
        <w:numPr>
          <w:ilvl w:val="0"/>
          <w:numId w:val="4"/>
        </w:numPr>
        <w:rPr>
          <w:rFonts w:cs="Arial"/>
          <w:color w:val="333333"/>
        </w:rPr>
      </w:pPr>
      <w:r>
        <w:rPr>
          <w:rFonts w:cs="Arial"/>
        </w:rPr>
        <w:t xml:space="preserve">Distinguish among </w:t>
      </w:r>
      <w:r w:rsidR="005F03E4" w:rsidRPr="00262B80">
        <w:rPr>
          <w:rFonts w:cs="Arial"/>
        </w:rPr>
        <w:t xml:space="preserve">new venture and private equity transactions </w:t>
      </w:r>
    </w:p>
    <w:p w:rsidR="008559E4" w:rsidRPr="00262B80" w:rsidRDefault="00262B80" w:rsidP="00262B80">
      <w:pPr>
        <w:pStyle w:val="ListParagraph"/>
        <w:numPr>
          <w:ilvl w:val="0"/>
          <w:numId w:val="4"/>
        </w:numPr>
        <w:rPr>
          <w:rFonts w:cs="Arial"/>
          <w:color w:val="333333"/>
        </w:rPr>
      </w:pPr>
      <w:r>
        <w:rPr>
          <w:rFonts w:cs="Arial"/>
        </w:rPr>
        <w:t>Use statistical and financial tools to evaluate businesses.</w:t>
      </w:r>
      <w:r w:rsidR="005F03E4" w:rsidRPr="00262B80">
        <w:rPr>
          <w:rFonts w:cs="Arial"/>
        </w:rPr>
        <w:t xml:space="preserve">  </w:t>
      </w:r>
      <w:r w:rsidR="008559E4" w:rsidRPr="00262B80">
        <w:rPr>
          <w:rFonts w:cs="Arial"/>
          <w:color w:val="333333"/>
        </w:rPr>
        <w:br/>
      </w:r>
    </w:p>
    <w:p w:rsidR="0097767C" w:rsidRPr="007134CA" w:rsidRDefault="0097767C" w:rsidP="007134CA">
      <w:pPr>
        <w:jc w:val="both"/>
        <w:rPr>
          <w:rFonts w:cs="Arial"/>
          <w:color w:val="333333"/>
        </w:rPr>
      </w:pPr>
      <w:r w:rsidRPr="007134CA">
        <w:rPr>
          <w:rFonts w:eastAsia="Times New Roman" w:cs="Arial"/>
          <w:b/>
          <w:color w:val="333333"/>
        </w:rPr>
        <w:t xml:space="preserve">Readings: </w:t>
      </w:r>
      <w:r>
        <w:t>The r</w:t>
      </w:r>
      <w:r w:rsidR="00355EEE">
        <w:t>equired text and schedule for a</w:t>
      </w:r>
      <w:r>
        <w:t xml:space="preserve"> </w:t>
      </w:r>
      <w:r w:rsidR="00E90E98">
        <w:t>7</w:t>
      </w:r>
      <w:r>
        <w:t>-week course follow:</w:t>
      </w:r>
    </w:p>
    <w:p w:rsidR="0097767C" w:rsidRDefault="007134CA" w:rsidP="0097767C">
      <w:pPr>
        <w:pStyle w:val="ListParagraph"/>
        <w:numPr>
          <w:ilvl w:val="0"/>
          <w:numId w:val="4"/>
        </w:numPr>
        <w:jc w:val="both"/>
      </w:pPr>
      <w:proofErr w:type="spellStart"/>
      <w:r>
        <w:t>Osterwalder</w:t>
      </w:r>
      <w:proofErr w:type="spellEnd"/>
      <w:r>
        <w:t xml:space="preserve">, Alexander and Yves </w:t>
      </w:r>
      <w:proofErr w:type="spellStart"/>
      <w:r>
        <w:t>Pigneur</w:t>
      </w:r>
      <w:proofErr w:type="spellEnd"/>
      <w:r w:rsidR="0097767C">
        <w:t>. 201</w:t>
      </w:r>
      <w:r>
        <w:t>0</w:t>
      </w:r>
      <w:r w:rsidR="0097767C">
        <w:t xml:space="preserve">. </w:t>
      </w:r>
      <w:r>
        <w:rPr>
          <w:i/>
        </w:rPr>
        <w:t>Business Model Generation</w:t>
      </w:r>
      <w:r w:rsidR="0097767C">
        <w:t xml:space="preserve">.  </w:t>
      </w:r>
      <w:r>
        <w:t>John Wiley &amp; Sons.</w:t>
      </w:r>
    </w:p>
    <w:p w:rsidR="0097767C" w:rsidRDefault="0097767C" w:rsidP="007134CA">
      <w:pPr>
        <w:pStyle w:val="ListParagraph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7668"/>
      </w:tblGrid>
      <w:tr w:rsidR="0097767C" w:rsidTr="007134CA">
        <w:tc>
          <w:tcPr>
            <w:tcW w:w="1188" w:type="dxa"/>
          </w:tcPr>
          <w:p w:rsidR="0097767C" w:rsidRDefault="0097767C" w:rsidP="00AD053D">
            <w:pPr>
              <w:jc w:val="both"/>
              <w:rPr>
                <w:b/>
              </w:rPr>
            </w:pPr>
            <w:r>
              <w:rPr>
                <w:b/>
              </w:rPr>
              <w:t>Week</w:t>
            </w:r>
          </w:p>
        </w:tc>
        <w:tc>
          <w:tcPr>
            <w:tcW w:w="7668" w:type="dxa"/>
          </w:tcPr>
          <w:p w:rsidR="0097767C" w:rsidRDefault="0097767C" w:rsidP="00AD053D">
            <w:pPr>
              <w:jc w:val="both"/>
              <w:rPr>
                <w:b/>
              </w:rPr>
            </w:pPr>
            <w:r>
              <w:rPr>
                <w:b/>
              </w:rPr>
              <w:t>Reading Assignment</w:t>
            </w:r>
          </w:p>
        </w:tc>
      </w:tr>
      <w:tr w:rsidR="0097767C" w:rsidTr="007134CA">
        <w:tc>
          <w:tcPr>
            <w:tcW w:w="1188" w:type="dxa"/>
          </w:tcPr>
          <w:p w:rsidR="0097767C" w:rsidRDefault="0097767C" w:rsidP="00AD053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668" w:type="dxa"/>
          </w:tcPr>
          <w:p w:rsidR="0097767C" w:rsidRDefault="007134CA" w:rsidP="00AD053D">
            <w:pPr>
              <w:jc w:val="both"/>
              <w:rPr>
                <w:b/>
              </w:rPr>
            </w:pPr>
            <w:r>
              <w:rPr>
                <w:b/>
              </w:rPr>
              <w:t>Ch.1-3: Definition &amp; Building Blocks of Business Models; Canvas</w:t>
            </w:r>
          </w:p>
        </w:tc>
      </w:tr>
      <w:tr w:rsidR="0097767C" w:rsidTr="007134CA">
        <w:tc>
          <w:tcPr>
            <w:tcW w:w="1188" w:type="dxa"/>
          </w:tcPr>
          <w:p w:rsidR="0097767C" w:rsidRDefault="0097767C" w:rsidP="00AD053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68" w:type="dxa"/>
          </w:tcPr>
          <w:p w:rsidR="0097767C" w:rsidRDefault="007134CA" w:rsidP="00AD053D">
            <w:pPr>
              <w:jc w:val="both"/>
              <w:rPr>
                <w:b/>
              </w:rPr>
            </w:pPr>
            <w:r>
              <w:rPr>
                <w:b/>
              </w:rPr>
              <w:t>Ch.4-6: Models and Platforms</w:t>
            </w:r>
          </w:p>
        </w:tc>
      </w:tr>
      <w:tr w:rsidR="0097767C" w:rsidTr="007134CA">
        <w:tc>
          <w:tcPr>
            <w:tcW w:w="1188" w:type="dxa"/>
          </w:tcPr>
          <w:p w:rsidR="0097767C" w:rsidRDefault="0097767C" w:rsidP="00AD053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668" w:type="dxa"/>
          </w:tcPr>
          <w:p w:rsidR="0097767C" w:rsidRDefault="007134CA" w:rsidP="00AD053D">
            <w:pPr>
              <w:jc w:val="both"/>
              <w:rPr>
                <w:b/>
              </w:rPr>
            </w:pPr>
            <w:r>
              <w:rPr>
                <w:b/>
              </w:rPr>
              <w:t>Ch.5-6: FREE as a Business Model; Open Business Models</w:t>
            </w:r>
          </w:p>
        </w:tc>
      </w:tr>
      <w:tr w:rsidR="0097767C" w:rsidTr="007134CA">
        <w:tc>
          <w:tcPr>
            <w:tcW w:w="1188" w:type="dxa"/>
          </w:tcPr>
          <w:p w:rsidR="0097767C" w:rsidRDefault="0097767C" w:rsidP="00AD053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668" w:type="dxa"/>
          </w:tcPr>
          <w:p w:rsidR="0097767C" w:rsidRDefault="007134CA" w:rsidP="00AD053D">
            <w:pPr>
              <w:jc w:val="both"/>
              <w:rPr>
                <w:b/>
              </w:rPr>
            </w:pPr>
            <w:r>
              <w:rPr>
                <w:b/>
              </w:rPr>
              <w:t>Ch.13: Business Model Environment</w:t>
            </w:r>
          </w:p>
        </w:tc>
      </w:tr>
      <w:tr w:rsidR="0097767C" w:rsidTr="007134CA">
        <w:tc>
          <w:tcPr>
            <w:tcW w:w="1188" w:type="dxa"/>
          </w:tcPr>
          <w:p w:rsidR="0097767C" w:rsidRDefault="0097767C" w:rsidP="00AD053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668" w:type="dxa"/>
          </w:tcPr>
          <w:p w:rsidR="0097767C" w:rsidRDefault="007134CA" w:rsidP="00AD053D">
            <w:pPr>
              <w:jc w:val="both"/>
              <w:rPr>
                <w:b/>
              </w:rPr>
            </w:pPr>
            <w:r>
              <w:rPr>
                <w:b/>
              </w:rPr>
              <w:t>Ch.14: Evaluating Business Models</w:t>
            </w:r>
          </w:p>
        </w:tc>
      </w:tr>
      <w:tr w:rsidR="0097767C" w:rsidTr="007134CA">
        <w:tc>
          <w:tcPr>
            <w:tcW w:w="1188" w:type="dxa"/>
          </w:tcPr>
          <w:p w:rsidR="0097767C" w:rsidRDefault="0097767C" w:rsidP="00AD053D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668" w:type="dxa"/>
          </w:tcPr>
          <w:p w:rsidR="0097767C" w:rsidRDefault="007134CA" w:rsidP="00AD053D">
            <w:pPr>
              <w:jc w:val="both"/>
              <w:rPr>
                <w:b/>
              </w:rPr>
            </w:pPr>
            <w:r>
              <w:rPr>
                <w:b/>
              </w:rPr>
              <w:t>Ch.15: Business Model Perspective on Blue Ocean Strategy</w:t>
            </w:r>
          </w:p>
        </w:tc>
      </w:tr>
      <w:tr w:rsidR="0097767C" w:rsidTr="007134CA">
        <w:tc>
          <w:tcPr>
            <w:tcW w:w="1188" w:type="dxa"/>
          </w:tcPr>
          <w:p w:rsidR="0097767C" w:rsidRDefault="0097767C" w:rsidP="00AD053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668" w:type="dxa"/>
          </w:tcPr>
          <w:p w:rsidR="0097767C" w:rsidRDefault="007134CA" w:rsidP="00AD053D">
            <w:pPr>
              <w:jc w:val="both"/>
              <w:rPr>
                <w:b/>
              </w:rPr>
            </w:pPr>
            <w:r>
              <w:rPr>
                <w:b/>
              </w:rPr>
              <w:t>Ch.16: Managing Multiple Business Models</w:t>
            </w:r>
          </w:p>
        </w:tc>
      </w:tr>
      <w:tr w:rsidR="0097767C" w:rsidTr="007134CA">
        <w:tc>
          <w:tcPr>
            <w:tcW w:w="1188" w:type="dxa"/>
          </w:tcPr>
          <w:p w:rsidR="0097767C" w:rsidRDefault="0097767C" w:rsidP="00AD053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668" w:type="dxa"/>
          </w:tcPr>
          <w:p w:rsidR="0097767C" w:rsidRDefault="0097767C" w:rsidP="00AD053D">
            <w:pPr>
              <w:jc w:val="both"/>
              <w:rPr>
                <w:b/>
              </w:rPr>
            </w:pPr>
            <w:r>
              <w:rPr>
                <w:b/>
              </w:rPr>
              <w:t>Final Exam</w:t>
            </w:r>
          </w:p>
        </w:tc>
      </w:tr>
    </w:tbl>
    <w:p w:rsidR="007134CA" w:rsidRDefault="007134CA" w:rsidP="007134CA">
      <w:pPr>
        <w:jc w:val="both"/>
      </w:pPr>
    </w:p>
    <w:p w:rsidR="0097767C" w:rsidRDefault="0097767C" w:rsidP="007134CA">
      <w:pPr>
        <w:jc w:val="both"/>
      </w:pPr>
      <w:r>
        <w:lastRenderedPageBreak/>
        <w:t xml:space="preserve">In addition to this core text, students will watch current videos, read online articles and blogs, and also follow current news and updates. </w:t>
      </w:r>
      <w:r w:rsidR="007134CA">
        <w:t>Guest lectures from startup financiers (venture capitalists, angel investors) will be used.</w:t>
      </w:r>
    </w:p>
    <w:p w:rsidR="0001193B" w:rsidRPr="00101C5B" w:rsidRDefault="0001193B" w:rsidP="003A3E6A">
      <w:pPr>
        <w:jc w:val="both"/>
      </w:pPr>
    </w:p>
    <w:p w:rsidR="00D44D43" w:rsidRPr="00D44D43" w:rsidRDefault="00101C5B" w:rsidP="00541CA7">
      <w:pPr>
        <w:jc w:val="both"/>
      </w:pPr>
      <w:r>
        <w:rPr>
          <w:b/>
        </w:rPr>
        <w:t>Grading</w:t>
      </w:r>
      <w:r w:rsidR="000815B2" w:rsidRPr="008559E4">
        <w:rPr>
          <w:b/>
        </w:rPr>
        <w:t xml:space="preserve">:  </w:t>
      </w:r>
      <w:r w:rsidR="00D44D43">
        <w:t>Students will be required to submit written work, do in class presentations and take a final exam.  The b</w:t>
      </w:r>
      <w:r w:rsidR="008634EA">
        <w:t xml:space="preserve">reakdown for each is as follows.  </w:t>
      </w:r>
      <w:r w:rsidR="00D44D43">
        <w:t>Weekly written homework (two pages or less) = 80 points, or 10 points per assignment</w:t>
      </w:r>
      <w:r w:rsidR="008634EA">
        <w:t xml:space="preserve">. </w:t>
      </w:r>
      <w:r w:rsidR="00D44D43">
        <w:t>Weekly in class presentation (3 minutes or less) = 120 points, or 15 per presentation</w:t>
      </w:r>
      <w:r w:rsidR="008634EA">
        <w:t xml:space="preserve">. </w:t>
      </w:r>
      <w:r w:rsidR="00D44D43">
        <w:t>Final in class pres</w:t>
      </w:r>
      <w:r w:rsidR="008634EA">
        <w:t xml:space="preserve">entation (7 minutes or less) = </w:t>
      </w:r>
      <w:r w:rsidR="00D44D43">
        <w:t>150 points</w:t>
      </w:r>
      <w:r w:rsidR="008634EA">
        <w:t xml:space="preserve">. </w:t>
      </w:r>
      <w:r w:rsidR="00D44D43">
        <w:t>Final exam (written) = 150 points</w:t>
      </w:r>
      <w:r w:rsidR="008634EA">
        <w:t xml:space="preserve">.  </w:t>
      </w:r>
      <w:r w:rsidR="00D44D43">
        <w:t>Grading will then be according to these guidelines:</w:t>
      </w:r>
    </w:p>
    <w:p w:rsidR="00541CA7" w:rsidRPr="003A3E6A" w:rsidRDefault="00541CA7" w:rsidP="00541CA7">
      <w:pPr>
        <w:jc w:val="both"/>
      </w:pPr>
    </w:p>
    <w:p w:rsidR="00541CA7" w:rsidRPr="003A3E6A" w:rsidRDefault="008634EA" w:rsidP="00541CA7">
      <w:pPr>
        <w:jc w:val="both"/>
      </w:pPr>
      <w:r>
        <w:t>425</w:t>
      </w:r>
      <w:r w:rsidR="00D44D43">
        <w:t xml:space="preserve"> - 500</w:t>
      </w:r>
      <w:r w:rsidR="00541CA7" w:rsidRPr="003A3E6A">
        <w:t xml:space="preserve"> points:  A</w:t>
      </w:r>
      <w:r w:rsidR="00D44D43">
        <w:t>- to A+</w:t>
      </w:r>
      <w:r w:rsidR="0001193B">
        <w:tab/>
      </w:r>
      <w:r>
        <w:t>350 - 424</w:t>
      </w:r>
      <w:r w:rsidR="00541CA7" w:rsidRPr="003A3E6A">
        <w:t xml:space="preserve"> points:  B</w:t>
      </w:r>
      <w:r w:rsidR="00D44D43">
        <w:t>- to B+</w:t>
      </w:r>
      <w:r w:rsidR="0001193B">
        <w:tab/>
      </w:r>
      <w:r>
        <w:t>275 - 349</w:t>
      </w:r>
      <w:r w:rsidR="00541CA7" w:rsidRPr="003A3E6A">
        <w:t xml:space="preserve"> points:  C</w:t>
      </w:r>
      <w:r w:rsidR="00D44D43">
        <w:t>- to C+</w:t>
      </w:r>
    </w:p>
    <w:p w:rsidR="003A3E6A" w:rsidRDefault="008634EA" w:rsidP="0001193B">
      <w:pPr>
        <w:jc w:val="both"/>
      </w:pPr>
      <w:r>
        <w:t>200 - 274</w:t>
      </w:r>
      <w:r w:rsidR="00541CA7" w:rsidRPr="003A3E6A">
        <w:t xml:space="preserve"> points:  D</w:t>
      </w:r>
      <w:r w:rsidR="00D44D43">
        <w:t>- to D+</w:t>
      </w:r>
      <w:r w:rsidR="0001193B">
        <w:tab/>
      </w:r>
      <w:r>
        <w:t>0 - 199</w:t>
      </w:r>
      <w:r w:rsidR="00541CA7" w:rsidRPr="003A3E6A">
        <w:t xml:space="preserve"> points or below:  F</w:t>
      </w:r>
    </w:p>
    <w:sectPr w:rsidR="003A3E6A" w:rsidSect="0054549C">
      <w:pgSz w:w="12240" w:h="15840"/>
      <w:pgMar w:top="810" w:right="1800" w:bottom="27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972"/>
    <w:multiLevelType w:val="hybridMultilevel"/>
    <w:tmpl w:val="F93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50454"/>
    <w:multiLevelType w:val="hybridMultilevel"/>
    <w:tmpl w:val="5930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143303"/>
    <w:multiLevelType w:val="hybridMultilevel"/>
    <w:tmpl w:val="6DF01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B3B4B"/>
    <w:multiLevelType w:val="hybridMultilevel"/>
    <w:tmpl w:val="B89E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815B2"/>
    <w:rsid w:val="0001193B"/>
    <w:rsid w:val="000740B9"/>
    <w:rsid w:val="000815B2"/>
    <w:rsid w:val="0009339C"/>
    <w:rsid w:val="000E59F8"/>
    <w:rsid w:val="00101C5B"/>
    <w:rsid w:val="001475F5"/>
    <w:rsid w:val="00241444"/>
    <w:rsid w:val="00243975"/>
    <w:rsid w:val="0025744D"/>
    <w:rsid w:val="00261164"/>
    <w:rsid w:val="00262B80"/>
    <w:rsid w:val="00272256"/>
    <w:rsid w:val="00355EEE"/>
    <w:rsid w:val="0036235E"/>
    <w:rsid w:val="003A3E6A"/>
    <w:rsid w:val="00434620"/>
    <w:rsid w:val="004A3A3F"/>
    <w:rsid w:val="004C60A9"/>
    <w:rsid w:val="00533218"/>
    <w:rsid w:val="00541CA7"/>
    <w:rsid w:val="0054549C"/>
    <w:rsid w:val="005F03E4"/>
    <w:rsid w:val="0062638C"/>
    <w:rsid w:val="00663F93"/>
    <w:rsid w:val="007134CA"/>
    <w:rsid w:val="00713554"/>
    <w:rsid w:val="0077797E"/>
    <w:rsid w:val="007B6D3F"/>
    <w:rsid w:val="007B7A0B"/>
    <w:rsid w:val="008559E4"/>
    <w:rsid w:val="0086001D"/>
    <w:rsid w:val="008634EA"/>
    <w:rsid w:val="008E108A"/>
    <w:rsid w:val="00954580"/>
    <w:rsid w:val="0097767C"/>
    <w:rsid w:val="00A92173"/>
    <w:rsid w:val="00B11629"/>
    <w:rsid w:val="00B43FD2"/>
    <w:rsid w:val="00BD7114"/>
    <w:rsid w:val="00C26278"/>
    <w:rsid w:val="00CD7AB6"/>
    <w:rsid w:val="00CE20E8"/>
    <w:rsid w:val="00D44D43"/>
    <w:rsid w:val="00DF4CA6"/>
    <w:rsid w:val="00E34AD6"/>
    <w:rsid w:val="00E63815"/>
    <w:rsid w:val="00E90E98"/>
    <w:rsid w:val="00EB2AA6"/>
    <w:rsid w:val="00ED2BF0"/>
    <w:rsid w:val="00F6017A"/>
    <w:rsid w:val="00F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5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38C"/>
    <w:pPr>
      <w:ind w:left="720"/>
      <w:contextualSpacing/>
    </w:pPr>
  </w:style>
  <w:style w:type="table" w:styleId="TableGrid">
    <w:name w:val="Table Grid"/>
    <w:basedOn w:val="TableNormal"/>
    <w:uiPriority w:val="59"/>
    <w:rsid w:val="000119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5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Lawrence</dc:creator>
  <cp:lastModifiedBy>Wendy Fox Kirk</cp:lastModifiedBy>
  <cp:revision>3</cp:revision>
  <cp:lastPrinted>2012-09-30T14:45:00Z</cp:lastPrinted>
  <dcterms:created xsi:type="dcterms:W3CDTF">2013-01-30T19:32:00Z</dcterms:created>
  <dcterms:modified xsi:type="dcterms:W3CDTF">2013-02-19T23:29:00Z</dcterms:modified>
</cp:coreProperties>
</file>