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A" w:rsidRPr="003A3E6A" w:rsidRDefault="00F6017A" w:rsidP="008559E4">
      <w:pPr>
        <w:jc w:val="center"/>
        <w:rPr>
          <w:b/>
          <w:u w:val="single"/>
        </w:rPr>
      </w:pPr>
      <w:bookmarkStart w:id="0" w:name="_GoBack"/>
      <w:bookmarkEnd w:id="0"/>
    </w:p>
    <w:p w:rsidR="00954580" w:rsidRDefault="00954580" w:rsidP="008559E4">
      <w:pPr>
        <w:jc w:val="center"/>
        <w:rPr>
          <w:b/>
          <w:u w:val="single"/>
        </w:rPr>
      </w:pPr>
      <w:r>
        <w:rPr>
          <w:b/>
          <w:u w:val="single"/>
        </w:rPr>
        <w:t>ENTR</w:t>
      </w:r>
      <w:r w:rsidR="007324A0">
        <w:rPr>
          <w:b/>
          <w:u w:val="single"/>
        </w:rPr>
        <w:t xml:space="preserve"> 3</w:t>
      </w:r>
      <w:r w:rsidR="000B1A4F">
        <w:rPr>
          <w:b/>
          <w:u w:val="single"/>
        </w:rPr>
        <w:t xml:space="preserve">003 </w:t>
      </w:r>
      <w:r>
        <w:rPr>
          <w:b/>
          <w:u w:val="single"/>
        </w:rPr>
        <w:t xml:space="preserve">  </w:t>
      </w:r>
      <w:r w:rsidR="000B1A4F">
        <w:rPr>
          <w:b/>
          <w:u w:val="single"/>
        </w:rPr>
        <w:t xml:space="preserve">Growing </w:t>
      </w:r>
      <w:proofErr w:type="gramStart"/>
      <w:r w:rsidR="000B1A4F">
        <w:rPr>
          <w:b/>
          <w:u w:val="single"/>
        </w:rPr>
        <w:t>The</w:t>
      </w:r>
      <w:proofErr w:type="gramEnd"/>
      <w:r w:rsidR="000B1A4F">
        <w:rPr>
          <w:b/>
          <w:u w:val="single"/>
        </w:rPr>
        <w:t xml:space="preserve"> Business</w:t>
      </w:r>
    </w:p>
    <w:p w:rsidR="00E63815" w:rsidRPr="00954580" w:rsidRDefault="008E108A" w:rsidP="008559E4">
      <w:pPr>
        <w:jc w:val="center"/>
      </w:pPr>
      <w:r w:rsidRPr="00954580">
        <w:t>Draft</w:t>
      </w:r>
      <w:r w:rsidR="008559E4" w:rsidRPr="00954580">
        <w:t xml:space="preserve"> Syllabus</w:t>
      </w:r>
    </w:p>
    <w:p w:rsidR="000815B2" w:rsidRPr="003A3E6A" w:rsidRDefault="000815B2" w:rsidP="003A3E6A">
      <w:pPr>
        <w:jc w:val="both"/>
        <w:rPr>
          <w:b/>
          <w:u w:val="single"/>
        </w:rPr>
      </w:pPr>
    </w:p>
    <w:p w:rsidR="000815B2" w:rsidRPr="003A3E6A" w:rsidRDefault="000815B2" w:rsidP="003A3E6A">
      <w:pPr>
        <w:jc w:val="both"/>
      </w:pPr>
      <w:r w:rsidRPr="003A3E6A">
        <w:rPr>
          <w:b/>
        </w:rPr>
        <w:t xml:space="preserve">Instructor:  </w:t>
      </w:r>
      <w:r w:rsidR="002403FE">
        <w:t>Alex Lawrence</w:t>
      </w:r>
    </w:p>
    <w:p w:rsidR="000815B2" w:rsidRPr="003A3E6A" w:rsidRDefault="000815B2" w:rsidP="003A3E6A">
      <w:pPr>
        <w:jc w:val="both"/>
      </w:pPr>
      <w:r w:rsidRPr="003A3E6A">
        <w:rPr>
          <w:b/>
        </w:rPr>
        <w:t xml:space="preserve">Classroom:  </w:t>
      </w:r>
      <w:r w:rsidR="007324A0">
        <w:rPr>
          <w:b/>
        </w:rPr>
        <w:t>TBD</w:t>
      </w:r>
    </w:p>
    <w:p w:rsidR="000815B2" w:rsidRPr="003A3E6A" w:rsidRDefault="000815B2" w:rsidP="00913286">
      <w:r w:rsidRPr="003A3E6A">
        <w:rPr>
          <w:b/>
        </w:rPr>
        <w:t xml:space="preserve">Office:  </w:t>
      </w:r>
      <w:r w:rsidR="002403FE">
        <w:t>317B – Miller Administration Building</w:t>
      </w:r>
    </w:p>
    <w:p w:rsidR="000815B2" w:rsidRPr="003A3E6A" w:rsidRDefault="000815B2" w:rsidP="003A3E6A">
      <w:pPr>
        <w:jc w:val="both"/>
      </w:pPr>
      <w:r w:rsidRPr="003A3E6A">
        <w:rPr>
          <w:b/>
        </w:rPr>
        <w:t xml:space="preserve">Office Hours:  </w:t>
      </w:r>
      <w:r w:rsidR="00541CA7">
        <w:t>TBD</w:t>
      </w:r>
    </w:p>
    <w:p w:rsidR="000815B2" w:rsidRPr="002403FE" w:rsidRDefault="000815B2" w:rsidP="003A3E6A">
      <w:pPr>
        <w:jc w:val="both"/>
      </w:pPr>
      <w:r w:rsidRPr="003A3E6A">
        <w:rPr>
          <w:b/>
        </w:rPr>
        <w:t>Contact Information:</w:t>
      </w:r>
      <w:r w:rsidR="00541CA7">
        <w:rPr>
          <w:b/>
        </w:rPr>
        <w:t xml:space="preserve">  </w:t>
      </w:r>
      <w:hyperlink r:id="rId7" w:history="1">
        <w:r w:rsidR="002403FE" w:rsidRPr="002403FE">
          <w:rPr>
            <w:rStyle w:val="Hyperlink"/>
            <w:color w:val="auto"/>
            <w:u w:val="none"/>
          </w:rPr>
          <w:t>alexanderlawrence@weber.edu</w:t>
        </w:r>
      </w:hyperlink>
      <w:r w:rsidR="002403FE" w:rsidRPr="002403FE">
        <w:t xml:space="preserve"> (email)</w:t>
      </w:r>
    </w:p>
    <w:p w:rsidR="009606E7" w:rsidRDefault="009606E7" w:rsidP="009606E7">
      <w:r w:rsidRPr="009606E7">
        <w:rPr>
          <w:b/>
        </w:rPr>
        <w:t>Prerequisites:</w:t>
      </w:r>
      <w:r>
        <w:t xml:space="preserve">  ENTR2002</w:t>
      </w:r>
      <w:r w:rsidRPr="00400D70">
        <w:rPr>
          <w:b/>
        </w:rPr>
        <w:br/>
      </w:r>
    </w:p>
    <w:p w:rsidR="009606E7" w:rsidRDefault="009606E7" w:rsidP="009606E7">
      <w:pPr>
        <w:jc w:val="both"/>
      </w:pPr>
      <w:r w:rsidRPr="00401A34">
        <w:rPr>
          <w:b/>
        </w:rPr>
        <w:t>Course Description:</w:t>
      </w:r>
      <w:r>
        <w:t xml:space="preserve">  Continuing from course five (a), students and their startups will accelerate the pace of customer validation and acquisition. Heavier spending on sales and marketing activities will start to bring some scale to their startup.  Paying jobs will begin to be created and the startup will be a living, breathing entity with revenues, expenses and profits to continue it on beyond the completion of the course.  This course will focus on launching the business from a student run startup in a university setting, to a stand-alone company that can operate outside the confines of a college campus.</w:t>
      </w:r>
    </w:p>
    <w:p w:rsidR="000815B2" w:rsidRPr="008559E4" w:rsidRDefault="000815B2" w:rsidP="00541CA7"/>
    <w:p w:rsidR="007324A0" w:rsidRDefault="00541CA7" w:rsidP="00541CA7">
      <w:r>
        <w:rPr>
          <w:b/>
        </w:rPr>
        <w:t>Learning Objectives</w:t>
      </w:r>
      <w:r w:rsidRPr="0099031E">
        <w:t xml:space="preserve">:  </w:t>
      </w:r>
      <w:r w:rsidR="007324A0">
        <w:t xml:space="preserve">This course will focus on launching the business from a student run startup in a university setting, to a standalone company that can operate outside the confines of a college campus. </w:t>
      </w:r>
      <w:r w:rsidR="000B1A4F">
        <w:t xml:space="preserve">Continuing from </w:t>
      </w:r>
      <w:r w:rsidR="007324A0">
        <w:t>ENTR 3</w:t>
      </w:r>
      <w:r w:rsidR="002403FE">
        <w:t>002,</w:t>
      </w:r>
      <w:r w:rsidR="000B1A4F">
        <w:t xml:space="preserve"> students and their startups will </w:t>
      </w:r>
    </w:p>
    <w:p w:rsidR="007324A0" w:rsidRPr="007324A0" w:rsidRDefault="007324A0" w:rsidP="007324A0">
      <w:pPr>
        <w:pStyle w:val="ListParagraph"/>
        <w:numPr>
          <w:ilvl w:val="0"/>
          <w:numId w:val="4"/>
        </w:numPr>
        <w:rPr>
          <w:rFonts w:cs="Arial"/>
          <w:color w:val="333333"/>
        </w:rPr>
      </w:pPr>
      <w:r>
        <w:t>A</w:t>
      </w:r>
      <w:r w:rsidR="000B1A4F">
        <w:t>ccelerate the pace of customer validation and acquisition</w:t>
      </w:r>
    </w:p>
    <w:p w:rsidR="007324A0" w:rsidRPr="007324A0" w:rsidRDefault="007324A0" w:rsidP="007324A0">
      <w:pPr>
        <w:pStyle w:val="ListParagraph"/>
        <w:numPr>
          <w:ilvl w:val="0"/>
          <w:numId w:val="4"/>
        </w:numPr>
        <w:rPr>
          <w:rFonts w:cs="Arial"/>
          <w:color w:val="333333"/>
        </w:rPr>
      </w:pPr>
      <w:r>
        <w:t>Explore opportunities for scaling</w:t>
      </w:r>
    </w:p>
    <w:p w:rsidR="008559E4" w:rsidRPr="007324A0" w:rsidRDefault="007324A0" w:rsidP="007324A0">
      <w:pPr>
        <w:pStyle w:val="ListParagraph"/>
        <w:numPr>
          <w:ilvl w:val="0"/>
          <w:numId w:val="4"/>
        </w:numPr>
        <w:rPr>
          <w:rFonts w:cs="Arial"/>
          <w:color w:val="333333"/>
        </w:rPr>
      </w:pPr>
      <w:r>
        <w:t>Analyze the financial health of the startup</w:t>
      </w:r>
      <w:r w:rsidR="008559E4" w:rsidRPr="007324A0">
        <w:rPr>
          <w:rFonts w:cs="Arial"/>
          <w:color w:val="333333"/>
        </w:rPr>
        <w:br/>
      </w:r>
    </w:p>
    <w:p w:rsidR="00572C74" w:rsidRDefault="00572C74" w:rsidP="00572C74">
      <w:pPr>
        <w:jc w:val="both"/>
        <w:rPr>
          <w:rFonts w:cs="Arial"/>
          <w:color w:val="333333"/>
        </w:rPr>
      </w:pPr>
      <w:r>
        <w:rPr>
          <w:rFonts w:eastAsia="Times New Roman" w:cs="Arial"/>
          <w:b/>
          <w:color w:val="333333"/>
        </w:rPr>
        <w:t xml:space="preserve">Readings: </w:t>
      </w:r>
      <w:r>
        <w:t>The required t</w:t>
      </w:r>
      <w:r w:rsidR="00935671">
        <w:t>ext and schedule for a 7</w:t>
      </w:r>
      <w:r>
        <w:t>-week course follow:</w:t>
      </w:r>
    </w:p>
    <w:p w:rsidR="00572C74" w:rsidRPr="00101C5B" w:rsidRDefault="00572C74" w:rsidP="00572C74">
      <w:pPr>
        <w:jc w:val="both"/>
        <w:rPr>
          <w:b/>
        </w:rPr>
      </w:pPr>
    </w:p>
    <w:p w:rsidR="00572C74" w:rsidRDefault="00572C74" w:rsidP="00572C74">
      <w:pPr>
        <w:jc w:val="both"/>
      </w:pPr>
      <w:r>
        <w:t xml:space="preserve">Feld, Brad. 2012. </w:t>
      </w:r>
      <w:r>
        <w:rPr>
          <w:i/>
        </w:rPr>
        <w:t>Startup Communities: Building and Entrepreneurial Ecosystem in Your City</w:t>
      </w:r>
      <w:r>
        <w:t xml:space="preserve">. </w:t>
      </w:r>
      <w:proofErr w:type="gramStart"/>
      <w:r>
        <w:t>Wiley.</w:t>
      </w:r>
      <w:proofErr w:type="gramEnd"/>
      <w:r>
        <w:t xml:space="preserve"> </w:t>
      </w:r>
    </w:p>
    <w:p w:rsidR="00572C74" w:rsidRDefault="00572C74" w:rsidP="00572C74">
      <w:pPr>
        <w:jc w:val="both"/>
      </w:pPr>
    </w:p>
    <w:tbl>
      <w:tblPr>
        <w:tblStyle w:val="TableGrid"/>
        <w:tblW w:w="0" w:type="auto"/>
        <w:tblLook w:val="04A0" w:firstRow="1" w:lastRow="0" w:firstColumn="1" w:lastColumn="0" w:noHBand="0" w:noVBand="1"/>
      </w:tblPr>
      <w:tblGrid>
        <w:gridCol w:w="1638"/>
        <w:gridCol w:w="7218"/>
      </w:tblGrid>
      <w:tr w:rsidR="00572C74" w:rsidTr="00405C91">
        <w:tc>
          <w:tcPr>
            <w:tcW w:w="1638" w:type="dxa"/>
          </w:tcPr>
          <w:p w:rsidR="00572C74" w:rsidRDefault="00572C74" w:rsidP="00405C91">
            <w:pPr>
              <w:jc w:val="both"/>
              <w:rPr>
                <w:b/>
              </w:rPr>
            </w:pPr>
            <w:r>
              <w:rPr>
                <w:b/>
              </w:rPr>
              <w:t>Week</w:t>
            </w:r>
          </w:p>
        </w:tc>
        <w:tc>
          <w:tcPr>
            <w:tcW w:w="7218" w:type="dxa"/>
          </w:tcPr>
          <w:p w:rsidR="00572C74" w:rsidRDefault="00572C74" w:rsidP="00405C91">
            <w:pPr>
              <w:jc w:val="both"/>
              <w:rPr>
                <w:b/>
              </w:rPr>
            </w:pPr>
            <w:r>
              <w:rPr>
                <w:b/>
              </w:rPr>
              <w:t>Reading Assignment</w:t>
            </w:r>
          </w:p>
        </w:tc>
      </w:tr>
      <w:tr w:rsidR="00572C74" w:rsidTr="00405C91">
        <w:tc>
          <w:tcPr>
            <w:tcW w:w="1638" w:type="dxa"/>
          </w:tcPr>
          <w:p w:rsidR="00572C74" w:rsidRDefault="00572C74" w:rsidP="00405C91">
            <w:pPr>
              <w:jc w:val="both"/>
              <w:rPr>
                <w:b/>
              </w:rPr>
            </w:pPr>
            <w:r>
              <w:rPr>
                <w:b/>
              </w:rPr>
              <w:t>1</w:t>
            </w:r>
          </w:p>
        </w:tc>
        <w:tc>
          <w:tcPr>
            <w:tcW w:w="7218" w:type="dxa"/>
          </w:tcPr>
          <w:p w:rsidR="00572C74" w:rsidRDefault="00572C74" w:rsidP="00405C91">
            <w:pPr>
              <w:jc w:val="both"/>
              <w:rPr>
                <w:b/>
              </w:rPr>
            </w:pPr>
            <w:r>
              <w:rPr>
                <w:b/>
              </w:rPr>
              <w:t>Ch.1-2: Introduction &amp; the Boulder Startup Community (SC)</w:t>
            </w:r>
          </w:p>
        </w:tc>
      </w:tr>
      <w:tr w:rsidR="00572C74" w:rsidTr="00405C91">
        <w:tc>
          <w:tcPr>
            <w:tcW w:w="1638" w:type="dxa"/>
          </w:tcPr>
          <w:p w:rsidR="00572C74" w:rsidRDefault="00572C74" w:rsidP="00405C91">
            <w:pPr>
              <w:jc w:val="both"/>
              <w:rPr>
                <w:b/>
              </w:rPr>
            </w:pPr>
            <w:r>
              <w:rPr>
                <w:b/>
              </w:rPr>
              <w:t>2</w:t>
            </w:r>
          </w:p>
        </w:tc>
        <w:tc>
          <w:tcPr>
            <w:tcW w:w="7218" w:type="dxa"/>
          </w:tcPr>
          <w:p w:rsidR="00572C74" w:rsidRDefault="00572C74" w:rsidP="00572C74">
            <w:pPr>
              <w:jc w:val="both"/>
              <w:rPr>
                <w:b/>
              </w:rPr>
            </w:pPr>
            <w:r>
              <w:rPr>
                <w:b/>
              </w:rPr>
              <w:t>Ch.3-4: Principles &amp; Participants of a Startup Community</w:t>
            </w:r>
          </w:p>
        </w:tc>
      </w:tr>
      <w:tr w:rsidR="00572C74" w:rsidTr="00405C91">
        <w:tc>
          <w:tcPr>
            <w:tcW w:w="1638" w:type="dxa"/>
          </w:tcPr>
          <w:p w:rsidR="00572C74" w:rsidRDefault="00572C74" w:rsidP="00405C91">
            <w:pPr>
              <w:jc w:val="both"/>
              <w:rPr>
                <w:b/>
              </w:rPr>
            </w:pPr>
            <w:r>
              <w:rPr>
                <w:b/>
              </w:rPr>
              <w:t>3</w:t>
            </w:r>
          </w:p>
        </w:tc>
        <w:tc>
          <w:tcPr>
            <w:tcW w:w="7218" w:type="dxa"/>
          </w:tcPr>
          <w:p w:rsidR="00572C74" w:rsidRDefault="00572C74" w:rsidP="00405C91">
            <w:pPr>
              <w:jc w:val="both"/>
              <w:rPr>
                <w:b/>
              </w:rPr>
            </w:pPr>
            <w:r>
              <w:rPr>
                <w:b/>
              </w:rPr>
              <w:t>Ch5-6: Attributes of a Startup Community &amp; Classical Problems</w:t>
            </w:r>
          </w:p>
        </w:tc>
      </w:tr>
      <w:tr w:rsidR="00572C74" w:rsidTr="00405C91">
        <w:tc>
          <w:tcPr>
            <w:tcW w:w="1638" w:type="dxa"/>
          </w:tcPr>
          <w:p w:rsidR="00572C74" w:rsidRDefault="00572C74" w:rsidP="00405C91">
            <w:pPr>
              <w:jc w:val="both"/>
              <w:rPr>
                <w:b/>
              </w:rPr>
            </w:pPr>
            <w:r>
              <w:rPr>
                <w:b/>
              </w:rPr>
              <w:t>4</w:t>
            </w:r>
          </w:p>
        </w:tc>
        <w:tc>
          <w:tcPr>
            <w:tcW w:w="7218" w:type="dxa"/>
          </w:tcPr>
          <w:p w:rsidR="00572C74" w:rsidRDefault="00572C74" w:rsidP="00405C91">
            <w:pPr>
              <w:jc w:val="both"/>
              <w:rPr>
                <w:b/>
              </w:rPr>
            </w:pPr>
            <w:r>
              <w:rPr>
                <w:b/>
              </w:rPr>
              <w:t>Ch.7-8: Activities, Events &amp; the Power of Accelerating</w:t>
            </w:r>
          </w:p>
        </w:tc>
      </w:tr>
      <w:tr w:rsidR="00572C74" w:rsidTr="00405C91">
        <w:tc>
          <w:tcPr>
            <w:tcW w:w="1638" w:type="dxa"/>
          </w:tcPr>
          <w:p w:rsidR="00572C74" w:rsidRDefault="00572C74" w:rsidP="00405C91">
            <w:pPr>
              <w:jc w:val="both"/>
              <w:rPr>
                <w:b/>
              </w:rPr>
            </w:pPr>
            <w:r>
              <w:rPr>
                <w:b/>
              </w:rPr>
              <w:t>5</w:t>
            </w:r>
          </w:p>
        </w:tc>
        <w:tc>
          <w:tcPr>
            <w:tcW w:w="7218" w:type="dxa"/>
          </w:tcPr>
          <w:p w:rsidR="00572C74" w:rsidRDefault="00572C74" w:rsidP="00405C91">
            <w:pPr>
              <w:jc w:val="both"/>
              <w:rPr>
                <w:b/>
              </w:rPr>
            </w:pPr>
            <w:r>
              <w:rPr>
                <w:b/>
              </w:rPr>
              <w:t>Ch.11&amp;13:The Power in the Community &amp; Myths of the SC</w:t>
            </w:r>
          </w:p>
        </w:tc>
      </w:tr>
      <w:tr w:rsidR="00572C74" w:rsidTr="00405C91">
        <w:tc>
          <w:tcPr>
            <w:tcW w:w="1638" w:type="dxa"/>
          </w:tcPr>
          <w:p w:rsidR="00572C74" w:rsidRDefault="00572C74" w:rsidP="00405C91">
            <w:pPr>
              <w:jc w:val="both"/>
              <w:rPr>
                <w:b/>
              </w:rPr>
            </w:pPr>
            <w:r>
              <w:rPr>
                <w:b/>
              </w:rPr>
              <w:t>6</w:t>
            </w:r>
          </w:p>
        </w:tc>
        <w:tc>
          <w:tcPr>
            <w:tcW w:w="7218" w:type="dxa"/>
          </w:tcPr>
          <w:p w:rsidR="00572C74" w:rsidRDefault="00572C74" w:rsidP="00405C91">
            <w:pPr>
              <w:jc w:val="both"/>
              <w:rPr>
                <w:b/>
              </w:rPr>
            </w:pPr>
            <w:r>
              <w:rPr>
                <w:b/>
              </w:rPr>
              <w:t>Presentations</w:t>
            </w:r>
          </w:p>
        </w:tc>
      </w:tr>
      <w:tr w:rsidR="00572C74" w:rsidTr="00405C91">
        <w:tc>
          <w:tcPr>
            <w:tcW w:w="1638" w:type="dxa"/>
          </w:tcPr>
          <w:p w:rsidR="00572C74" w:rsidRDefault="00572C74" w:rsidP="00405C91">
            <w:pPr>
              <w:jc w:val="both"/>
              <w:rPr>
                <w:b/>
              </w:rPr>
            </w:pPr>
            <w:r>
              <w:rPr>
                <w:b/>
              </w:rPr>
              <w:t>7</w:t>
            </w:r>
          </w:p>
        </w:tc>
        <w:tc>
          <w:tcPr>
            <w:tcW w:w="7218" w:type="dxa"/>
          </w:tcPr>
          <w:p w:rsidR="00572C74" w:rsidRDefault="00572C74" w:rsidP="00405C91">
            <w:pPr>
              <w:jc w:val="both"/>
              <w:rPr>
                <w:b/>
              </w:rPr>
            </w:pPr>
            <w:r>
              <w:rPr>
                <w:b/>
              </w:rPr>
              <w:t>Presentations</w:t>
            </w:r>
          </w:p>
        </w:tc>
      </w:tr>
    </w:tbl>
    <w:p w:rsidR="00572C74" w:rsidRDefault="00572C74" w:rsidP="00572C74">
      <w:pPr>
        <w:jc w:val="both"/>
        <w:rPr>
          <w:b/>
        </w:rPr>
      </w:pPr>
    </w:p>
    <w:p w:rsidR="00572C74" w:rsidRDefault="00572C74" w:rsidP="00572C74">
      <w:pPr>
        <w:jc w:val="both"/>
      </w:pPr>
      <w:r>
        <w:t>In addition to this core text, students will watch current videos, read online articles and blogs, and also follow current news and updates.</w:t>
      </w:r>
    </w:p>
    <w:p w:rsidR="00572C74" w:rsidRPr="00101C5B" w:rsidRDefault="00572C74" w:rsidP="003A3E6A">
      <w:pPr>
        <w:jc w:val="both"/>
      </w:pPr>
    </w:p>
    <w:p w:rsidR="003C6043" w:rsidRDefault="00101C5B" w:rsidP="003C6043">
      <w:pPr>
        <w:jc w:val="both"/>
      </w:pPr>
      <w:r>
        <w:rPr>
          <w:b/>
        </w:rPr>
        <w:t>Grading</w:t>
      </w:r>
      <w:r w:rsidR="000815B2" w:rsidRPr="008559E4">
        <w:rPr>
          <w:b/>
        </w:rPr>
        <w:t>:</w:t>
      </w:r>
      <w:r w:rsidR="002403FE">
        <w:t xml:space="preserve"> </w:t>
      </w:r>
    </w:p>
    <w:p w:rsidR="003C6043" w:rsidRPr="00D44D43" w:rsidRDefault="003C6043" w:rsidP="003C6043">
      <w:pPr>
        <w:jc w:val="both"/>
      </w:pPr>
      <w:r>
        <w:t xml:space="preserve">Students will be required to submit written work and do in class presentations.  The breakdown for each is as follows.  Final in class presentation = 200 points. Final reflective essay (5 double spaced pages maximum) = 300 points.  In both the presentation and the reflective essay students will draw on their key business metrics to demonstrate an understanding of why their business was or was not a </w:t>
      </w:r>
      <w:r>
        <w:lastRenderedPageBreak/>
        <w:t>success.  Reference to key theories and models will support their analysis. Grading will then be according to these guidelines:</w:t>
      </w:r>
    </w:p>
    <w:p w:rsidR="003C6043" w:rsidRPr="003A3E6A" w:rsidRDefault="003C6043" w:rsidP="003C6043">
      <w:pPr>
        <w:jc w:val="both"/>
      </w:pPr>
    </w:p>
    <w:p w:rsidR="003C6043" w:rsidRPr="003A3E6A" w:rsidRDefault="003C6043" w:rsidP="003C6043">
      <w:pPr>
        <w:jc w:val="both"/>
      </w:pPr>
      <w:r>
        <w:t>425 - 500</w:t>
      </w:r>
      <w:r w:rsidRPr="003A3E6A">
        <w:t xml:space="preserve"> points:  A</w:t>
      </w:r>
      <w:r>
        <w:t>- to A+</w:t>
      </w:r>
    </w:p>
    <w:p w:rsidR="003C6043" w:rsidRPr="003A3E6A" w:rsidRDefault="003C6043" w:rsidP="003C6043">
      <w:pPr>
        <w:jc w:val="both"/>
      </w:pPr>
      <w:r>
        <w:t>350 - 424</w:t>
      </w:r>
      <w:r w:rsidRPr="003A3E6A">
        <w:t xml:space="preserve"> points:  B</w:t>
      </w:r>
      <w:r>
        <w:t>- to B+</w:t>
      </w:r>
    </w:p>
    <w:p w:rsidR="003C6043" w:rsidRPr="003A3E6A" w:rsidRDefault="003C6043" w:rsidP="003C6043">
      <w:pPr>
        <w:jc w:val="both"/>
      </w:pPr>
      <w:r>
        <w:t>275 - 349</w:t>
      </w:r>
      <w:r w:rsidRPr="003A3E6A">
        <w:t xml:space="preserve"> points:  C</w:t>
      </w:r>
      <w:r>
        <w:t>- to C+</w:t>
      </w:r>
    </w:p>
    <w:p w:rsidR="003C6043" w:rsidRPr="003A3E6A" w:rsidRDefault="003C6043" w:rsidP="003C6043">
      <w:pPr>
        <w:jc w:val="both"/>
      </w:pPr>
      <w:r>
        <w:t>200 - 274</w:t>
      </w:r>
      <w:r w:rsidRPr="003A3E6A">
        <w:t xml:space="preserve"> points:  D</w:t>
      </w:r>
      <w:r>
        <w:t>- to D+</w:t>
      </w:r>
    </w:p>
    <w:p w:rsidR="003C6043" w:rsidRPr="003A3E6A" w:rsidRDefault="003C6043" w:rsidP="003C6043">
      <w:pPr>
        <w:jc w:val="both"/>
      </w:pPr>
      <w:r>
        <w:t>0 - 199</w:t>
      </w:r>
      <w:r w:rsidRPr="003A3E6A">
        <w:t xml:space="preserve"> points or below:  F</w:t>
      </w:r>
    </w:p>
    <w:p w:rsidR="003A3E6A" w:rsidRDefault="003A3E6A" w:rsidP="00913286">
      <w:pPr>
        <w:jc w:val="both"/>
      </w:pPr>
    </w:p>
    <w:sectPr w:rsidR="003A3E6A" w:rsidSect="00B43FD2">
      <w:pgSz w:w="12240" w:h="15840"/>
      <w:pgMar w:top="1080" w:right="1800" w:bottom="2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70F4"/>
    <w:multiLevelType w:val="hybridMultilevel"/>
    <w:tmpl w:val="1264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50454"/>
    <w:multiLevelType w:val="hybridMultilevel"/>
    <w:tmpl w:val="593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43303"/>
    <w:multiLevelType w:val="hybridMultilevel"/>
    <w:tmpl w:val="6DF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B3B4B"/>
    <w:multiLevelType w:val="hybridMultilevel"/>
    <w:tmpl w:val="B89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2"/>
  </w:compat>
  <w:rsids>
    <w:rsidRoot w:val="000815B2"/>
    <w:rsid w:val="000815B2"/>
    <w:rsid w:val="0009339C"/>
    <w:rsid w:val="000B1A4F"/>
    <w:rsid w:val="00101C5B"/>
    <w:rsid w:val="001101D1"/>
    <w:rsid w:val="001475F5"/>
    <w:rsid w:val="002403FE"/>
    <w:rsid w:val="00243975"/>
    <w:rsid w:val="0025744D"/>
    <w:rsid w:val="00261164"/>
    <w:rsid w:val="0036235E"/>
    <w:rsid w:val="003A3E6A"/>
    <w:rsid w:val="003C298D"/>
    <w:rsid w:val="003C6043"/>
    <w:rsid w:val="00434620"/>
    <w:rsid w:val="004A3A3F"/>
    <w:rsid w:val="004C60A9"/>
    <w:rsid w:val="00541CA7"/>
    <w:rsid w:val="00572C74"/>
    <w:rsid w:val="005F03E4"/>
    <w:rsid w:val="0062638C"/>
    <w:rsid w:val="00636945"/>
    <w:rsid w:val="00641C6A"/>
    <w:rsid w:val="00663F93"/>
    <w:rsid w:val="007324A0"/>
    <w:rsid w:val="0077797E"/>
    <w:rsid w:val="007B6D3F"/>
    <w:rsid w:val="007B7A0B"/>
    <w:rsid w:val="007F55B7"/>
    <w:rsid w:val="008559E4"/>
    <w:rsid w:val="0086001D"/>
    <w:rsid w:val="008634EA"/>
    <w:rsid w:val="008663A3"/>
    <w:rsid w:val="008E108A"/>
    <w:rsid w:val="00913286"/>
    <w:rsid w:val="00935671"/>
    <w:rsid w:val="00954580"/>
    <w:rsid w:val="009606E7"/>
    <w:rsid w:val="009C0F6B"/>
    <w:rsid w:val="00A92173"/>
    <w:rsid w:val="00B11629"/>
    <w:rsid w:val="00B43FD2"/>
    <w:rsid w:val="00C26278"/>
    <w:rsid w:val="00CD7AB6"/>
    <w:rsid w:val="00CE20E8"/>
    <w:rsid w:val="00D44D43"/>
    <w:rsid w:val="00D47FA9"/>
    <w:rsid w:val="00DF4CA6"/>
    <w:rsid w:val="00E34AD6"/>
    <w:rsid w:val="00E465DC"/>
    <w:rsid w:val="00E63815"/>
    <w:rsid w:val="00EB2AA6"/>
    <w:rsid w:val="00ED2BF0"/>
    <w:rsid w:val="00EE556D"/>
    <w:rsid w:val="00F014E9"/>
    <w:rsid w:val="00F6017A"/>
    <w:rsid w:val="00FA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 w:type="table" w:styleId="TableGrid">
    <w:name w:val="Table Grid"/>
    <w:basedOn w:val="TableNormal"/>
    <w:uiPriority w:val="59"/>
    <w:rsid w:val="00572C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7FA9"/>
    <w:rPr>
      <w:sz w:val="16"/>
      <w:szCs w:val="16"/>
    </w:rPr>
  </w:style>
  <w:style w:type="paragraph" w:styleId="CommentText">
    <w:name w:val="annotation text"/>
    <w:basedOn w:val="Normal"/>
    <w:link w:val="CommentTextChar"/>
    <w:uiPriority w:val="99"/>
    <w:semiHidden/>
    <w:unhideWhenUsed/>
    <w:rsid w:val="00D47FA9"/>
    <w:rPr>
      <w:sz w:val="20"/>
      <w:szCs w:val="20"/>
    </w:rPr>
  </w:style>
  <w:style w:type="character" w:customStyle="1" w:styleId="CommentTextChar">
    <w:name w:val="Comment Text Char"/>
    <w:basedOn w:val="DefaultParagraphFont"/>
    <w:link w:val="CommentText"/>
    <w:uiPriority w:val="99"/>
    <w:semiHidden/>
    <w:rsid w:val="00D47FA9"/>
    <w:rPr>
      <w:sz w:val="20"/>
      <w:szCs w:val="20"/>
    </w:rPr>
  </w:style>
  <w:style w:type="paragraph" w:styleId="CommentSubject">
    <w:name w:val="annotation subject"/>
    <w:basedOn w:val="CommentText"/>
    <w:next w:val="CommentText"/>
    <w:link w:val="CommentSubjectChar"/>
    <w:uiPriority w:val="99"/>
    <w:semiHidden/>
    <w:unhideWhenUsed/>
    <w:rsid w:val="00D47FA9"/>
    <w:rPr>
      <w:b/>
      <w:bCs/>
    </w:rPr>
  </w:style>
  <w:style w:type="character" w:customStyle="1" w:styleId="CommentSubjectChar">
    <w:name w:val="Comment Subject Char"/>
    <w:basedOn w:val="CommentTextChar"/>
    <w:link w:val="CommentSubject"/>
    <w:uiPriority w:val="99"/>
    <w:semiHidden/>
    <w:rsid w:val="00D47FA9"/>
    <w:rPr>
      <w:b/>
      <w:bCs/>
      <w:sz w:val="20"/>
      <w:szCs w:val="20"/>
    </w:rPr>
  </w:style>
  <w:style w:type="paragraph" w:styleId="BalloonText">
    <w:name w:val="Balloon Text"/>
    <w:basedOn w:val="Normal"/>
    <w:link w:val="BalloonTextChar"/>
    <w:uiPriority w:val="99"/>
    <w:semiHidden/>
    <w:unhideWhenUsed/>
    <w:rsid w:val="00D47FA9"/>
    <w:rPr>
      <w:rFonts w:ascii="Tahoma" w:hAnsi="Tahoma" w:cs="Tahoma"/>
      <w:sz w:val="16"/>
      <w:szCs w:val="16"/>
    </w:rPr>
  </w:style>
  <w:style w:type="character" w:customStyle="1" w:styleId="BalloonTextChar">
    <w:name w:val="Balloon Text Char"/>
    <w:basedOn w:val="DefaultParagraphFont"/>
    <w:link w:val="BalloonText"/>
    <w:uiPriority w:val="99"/>
    <w:semiHidden/>
    <w:rsid w:val="00D47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erlawrence@web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0252-73BF-44D8-8EC6-B24345D1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Lawrence</dc:creator>
  <cp:lastModifiedBy>Wendy Fox Kirk</cp:lastModifiedBy>
  <cp:revision>9</cp:revision>
  <cp:lastPrinted>2012-09-30T14:45:00Z</cp:lastPrinted>
  <dcterms:created xsi:type="dcterms:W3CDTF">2013-02-01T16:49:00Z</dcterms:created>
  <dcterms:modified xsi:type="dcterms:W3CDTF">2013-02-20T16:36:00Z</dcterms:modified>
</cp:coreProperties>
</file>