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D0" w:rsidRPr="009B1C0C" w:rsidRDefault="009958D0" w:rsidP="00934D09">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bookmarkStart w:id="0" w:name="_GoBack"/>
      <w:bookmarkEnd w:id="0"/>
      <w:r w:rsidRPr="00912565">
        <w:rPr>
          <w:b/>
        </w:rPr>
        <w:t>POLICY</w:t>
      </w:r>
      <w:r w:rsidR="008254E4">
        <w:rPr>
          <w:b/>
        </w:rPr>
        <w:t xml:space="preserve"> ON TENURE</w:t>
      </w:r>
    </w:p>
    <w:p w:rsidR="009958D0" w:rsidRPr="009B1C0C" w:rsidRDefault="009958D0"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sidRPr="009B1C0C">
        <w:rPr>
          <w:b/>
        </w:rPr>
        <w:t>COLLEGE OF SOCIAL &amp; BEHAVIORAL SCIENCES</w:t>
      </w:r>
    </w:p>
    <w:p w:rsidR="009958D0" w:rsidRPr="009B1C0C" w:rsidRDefault="009958D0"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sidRPr="009B1C0C">
        <w:rPr>
          <w:b/>
        </w:rPr>
        <w:br/>
      </w:r>
      <w:r w:rsidR="00F070DF" w:rsidRPr="009B1C0C">
        <w:rPr>
          <w:b/>
          <w:highlight w:val="yellow"/>
        </w:rPr>
        <w:t xml:space="preserve">Adopted </w:t>
      </w:r>
      <w:r w:rsidRPr="009B1C0C">
        <w:rPr>
          <w:b/>
          <w:highlight w:val="yellow"/>
        </w:rPr>
        <w:t>DATE</w:t>
      </w:r>
    </w:p>
    <w:p w:rsidR="009958D0" w:rsidRPr="009B1C0C" w:rsidRDefault="009958D0"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sidRPr="009B1C0C">
        <w:rPr>
          <w:b/>
        </w:rPr>
        <w:t>WEBER STATE UNIVERSITY</w:t>
      </w:r>
    </w:p>
    <w:p w:rsidR="008D1ACD" w:rsidRDefault="008D1ACD"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b/>
        </w:rPr>
      </w:pPr>
    </w:p>
    <w:p w:rsidR="00925365" w:rsidRPr="00737CD7" w:rsidRDefault="00925365" w:rsidP="00DF4045">
      <w:pPr>
        <w:pStyle w:val="Heading1"/>
        <w:rPr>
          <w:rFonts w:ascii="Times New Roman" w:hAnsi="Times New Roman" w:cs="Times New Roman"/>
          <w:color w:val="000000" w:themeColor="text1"/>
          <w:sz w:val="24"/>
          <w:szCs w:val="24"/>
          <w:u w:val="single"/>
        </w:rPr>
      </w:pPr>
      <w:r w:rsidRPr="00737CD7">
        <w:rPr>
          <w:rFonts w:ascii="Times New Roman" w:hAnsi="Times New Roman" w:cs="Times New Roman"/>
          <w:color w:val="000000" w:themeColor="text1"/>
          <w:sz w:val="24"/>
          <w:szCs w:val="24"/>
          <w:u w:val="single"/>
        </w:rPr>
        <w:t>POLICY ON TENURE</w:t>
      </w:r>
    </w:p>
    <w:p w:rsidR="00925365" w:rsidRPr="00222DC3" w:rsidRDefault="00925365"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b/>
        </w:rPr>
      </w:pPr>
    </w:p>
    <w:p w:rsidR="009958D0" w:rsidRPr="009B1C0C" w:rsidRDefault="00F070DF" w:rsidP="00934D09">
      <w:pPr>
        <w:pStyle w:val="ListParagraph"/>
        <w:numPr>
          <w:ilvl w:val="0"/>
          <w:numId w:val="15"/>
        </w:numPr>
        <w:rPr>
          <w:sz w:val="24"/>
          <w:szCs w:val="24"/>
          <w:u w:val="single"/>
        </w:rPr>
      </w:pPr>
      <w:r w:rsidRPr="009B1C0C">
        <w:rPr>
          <w:sz w:val="24"/>
          <w:szCs w:val="24"/>
          <w:u w:val="single"/>
        </w:rPr>
        <w:t>PREAMBLE</w:t>
      </w:r>
    </w:p>
    <w:p w:rsidR="002E1FB1" w:rsidRPr="00222DC3" w:rsidRDefault="002E1FB1" w:rsidP="00934D09">
      <w:pPr>
        <w:ind w:left="360"/>
        <w:rPr>
          <w:b/>
          <w:sz w:val="10"/>
          <w:szCs w:val="10"/>
          <w:u w:val="single"/>
        </w:rPr>
      </w:pPr>
    </w:p>
    <w:p w:rsidR="009958D0" w:rsidRPr="009B1C0C" w:rsidRDefault="008D1ACD"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pPr>
      <w:r w:rsidRPr="009B1C0C">
        <w:t xml:space="preserve">This tenure document has been designed to aid in the evaluation of candidates seeking tenure in departments within the </w:t>
      </w:r>
      <w:r w:rsidR="00FB1DE6" w:rsidRPr="009B1C0C">
        <w:t>College of Social and Behavioral Sciences (COSBS)</w:t>
      </w:r>
      <w:r w:rsidRPr="009B1C0C">
        <w:t xml:space="preserve">. </w:t>
      </w:r>
      <w:r w:rsidR="00FB1DE6" w:rsidRPr="009B1C0C">
        <w:t xml:space="preserve"> </w:t>
      </w:r>
      <w:r w:rsidRPr="009B1C0C">
        <w:t xml:space="preserve">Standards are set to </w:t>
      </w:r>
      <w:r w:rsidR="00FB1DE6" w:rsidRPr="009B1C0C">
        <w:t>en</w:t>
      </w:r>
      <w:r w:rsidRPr="009B1C0C">
        <w:t xml:space="preserve">sure that only </w:t>
      </w:r>
      <w:r w:rsidR="00FB1DE6" w:rsidRPr="009B1C0C">
        <w:t xml:space="preserve">those </w:t>
      </w:r>
      <w:r w:rsidRPr="009B1C0C">
        <w:t xml:space="preserve">faculty </w:t>
      </w:r>
      <w:r w:rsidR="00FB1DE6" w:rsidRPr="009B1C0C">
        <w:t xml:space="preserve">members </w:t>
      </w:r>
      <w:r w:rsidRPr="009B1C0C">
        <w:t xml:space="preserve">who exhibit </w:t>
      </w:r>
      <w:r w:rsidR="00FA4A3D" w:rsidRPr="009B1C0C">
        <w:t xml:space="preserve">a </w:t>
      </w:r>
      <w:r w:rsidRPr="009B1C0C">
        <w:t>high</w:t>
      </w:r>
      <w:r w:rsidR="00FA4A3D" w:rsidRPr="009B1C0C">
        <w:t xml:space="preserve"> overall level of</w:t>
      </w:r>
      <w:r w:rsidRPr="009B1C0C">
        <w:t xml:space="preserve"> performa</w:t>
      </w:r>
      <w:r w:rsidR="00FA4A3D" w:rsidRPr="009B1C0C">
        <w:t xml:space="preserve">nce </w:t>
      </w:r>
      <w:r w:rsidRPr="009B1C0C">
        <w:t xml:space="preserve">receive a positive tenure recommendation. </w:t>
      </w:r>
      <w:r w:rsidR="00FB1DE6" w:rsidRPr="009B1C0C">
        <w:t xml:space="preserve"> </w:t>
      </w:r>
      <w:r w:rsidRPr="009B1C0C">
        <w:t xml:space="preserve">Diversity within the standards </w:t>
      </w:r>
      <w:r w:rsidR="00FB1DE6" w:rsidRPr="009B1C0C">
        <w:t>accommodates</w:t>
      </w:r>
      <w:r w:rsidRPr="009B1C0C">
        <w:t xml:space="preserve"> faculty members with different backgrounds, talents</w:t>
      </w:r>
      <w:r w:rsidR="00FB1DE6" w:rsidRPr="009B1C0C">
        <w:t>,</w:t>
      </w:r>
      <w:r w:rsidRPr="009B1C0C">
        <w:t xml:space="preserve"> and professional </w:t>
      </w:r>
      <w:r w:rsidR="00FB1DE6" w:rsidRPr="009B1C0C">
        <w:t>accomplishments</w:t>
      </w:r>
      <w:r w:rsidRPr="009B1C0C">
        <w:t>.</w:t>
      </w:r>
      <w:r w:rsidR="00520F30" w:rsidRPr="009B1C0C">
        <w:t xml:space="preserve">  In the tenure process, a candidate’s total professional career </w:t>
      </w:r>
      <w:r w:rsidR="00E621EF" w:rsidRPr="009B1C0C">
        <w:t>will</w:t>
      </w:r>
      <w:r w:rsidR="00520F30" w:rsidRPr="009B1C0C">
        <w:t xml:space="preserve"> be </w:t>
      </w:r>
      <w:r w:rsidR="00E621EF" w:rsidRPr="009B1C0C">
        <w:t>considered</w:t>
      </w:r>
      <w:r w:rsidR="006938AE" w:rsidRPr="009B1C0C">
        <w:t>,</w:t>
      </w:r>
      <w:r w:rsidR="00E621EF" w:rsidRPr="009B1C0C">
        <w:t xml:space="preserve"> </w:t>
      </w:r>
      <w:r w:rsidR="00520F30" w:rsidRPr="009B1C0C">
        <w:t xml:space="preserve">including performance at other institutions of higher education. </w:t>
      </w:r>
      <w:r w:rsidR="006938AE" w:rsidRPr="009B1C0C">
        <w:t xml:space="preserve"> It is the candidate</w:t>
      </w:r>
      <w:r w:rsidR="002A228A" w:rsidRPr="009B1C0C">
        <w:t>’</w:t>
      </w:r>
      <w:r w:rsidR="00520F30" w:rsidRPr="009B1C0C">
        <w:t xml:space="preserve">s responsibility to provide the committees with pertinent information </w:t>
      </w:r>
      <w:r w:rsidR="00FA4A3D" w:rsidRPr="009B1C0C">
        <w:t xml:space="preserve">related to </w:t>
      </w:r>
      <w:r w:rsidR="00666F16" w:rsidRPr="00912565">
        <w:t>his</w:t>
      </w:r>
      <w:r w:rsidR="00912565" w:rsidRPr="00912565">
        <w:t xml:space="preserve"> or her</w:t>
      </w:r>
      <w:r w:rsidR="00912565">
        <w:t xml:space="preserve"> </w:t>
      </w:r>
      <w:r w:rsidR="00FA4A3D" w:rsidRPr="009B1C0C">
        <w:t xml:space="preserve">teaching, scholarship, and service </w:t>
      </w:r>
      <w:r w:rsidR="00DF5280" w:rsidRPr="009B1C0C">
        <w:t xml:space="preserve">to make a </w:t>
      </w:r>
      <w:r w:rsidR="00520F30" w:rsidRPr="009B1C0C">
        <w:t>tenure recommendation.</w:t>
      </w:r>
    </w:p>
    <w:p w:rsidR="005F0D8E" w:rsidRPr="00222DC3" w:rsidRDefault="005F0D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pPr>
    </w:p>
    <w:p w:rsidR="00321290" w:rsidRPr="009B1C0C" w:rsidRDefault="00321290" w:rsidP="00934D09">
      <w:pPr>
        <w:pStyle w:val="ListParagraph"/>
        <w:numPr>
          <w:ilvl w:val="0"/>
          <w:numId w:val="15"/>
        </w:numPr>
        <w:rPr>
          <w:rStyle w:val="Strong"/>
          <w:b/>
          <w:sz w:val="24"/>
          <w:szCs w:val="24"/>
          <w:u w:val="single"/>
        </w:rPr>
      </w:pPr>
      <w:r w:rsidRPr="009B1C0C">
        <w:rPr>
          <w:rStyle w:val="Strong"/>
          <w:b/>
          <w:sz w:val="24"/>
          <w:szCs w:val="24"/>
          <w:u w:val="single"/>
        </w:rPr>
        <w:t>INSTRUCTIONS TO TENURE COMMITTEE</w:t>
      </w:r>
      <w:r w:rsidR="009B1C0C" w:rsidRPr="009B1C0C">
        <w:rPr>
          <w:rStyle w:val="Strong"/>
          <w:b/>
          <w:sz w:val="24"/>
          <w:szCs w:val="24"/>
          <w:u w:val="single"/>
        </w:rPr>
        <w:t>S</w:t>
      </w:r>
      <w:r w:rsidRPr="009B1C0C">
        <w:rPr>
          <w:rStyle w:val="Strong"/>
          <w:b/>
          <w:sz w:val="24"/>
          <w:szCs w:val="24"/>
          <w:u w:val="single"/>
        </w:rPr>
        <w:t xml:space="preserve"> AND CANDIDATE</w:t>
      </w:r>
    </w:p>
    <w:p w:rsidR="00B704EF" w:rsidRPr="00222DC3" w:rsidRDefault="00B704EF"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9B1C0C" w:rsidRPr="009B1C0C" w:rsidRDefault="009B1C0C"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Department and college tenure committees are responsible for evaluating the performance of tenure candidates.  A committee must provide candidates substantial evidence for, and explanation of, ratings of their teaching, scholarship, and service, and detailed recommendations for improvement.  A committee may request additional information from a candidate or seek clarification of information provided by a candidate, but is not obligated to do so; candidates are responsible for ensuring the accuracy and comprehensiveness of their dossiers.</w:t>
      </w:r>
    </w:p>
    <w:p w:rsidR="009B1C0C" w:rsidRPr="009B1C0C" w:rsidRDefault="009B1C0C"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 xml:space="preserve">In the third-year review, committees and administrators will rate candidates in each area of evaluation (teaching, scholarship, service) according to the standards (excellent to unsatisfactory) necessary for achieving tenure, and explicate in </w:t>
      </w:r>
      <w:r w:rsidR="00666F16">
        <w:t>their</w:t>
      </w:r>
      <w:r w:rsidRPr="009B1C0C">
        <w:t xml:space="preserve"> letter</w:t>
      </w:r>
      <w:r w:rsidR="00666F16">
        <w:t>s</w:t>
      </w:r>
      <w:r w:rsidRPr="009B1C0C">
        <w:t xml:space="preserve"> to the candidates what actions are necessary in each area of evaluation to achieve tenure according to the channels.  </w:t>
      </w:r>
    </w:p>
    <w:p w:rsidR="00B704EF" w:rsidRPr="009B1C0C" w:rsidRDefault="009B1C0C"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In the sixth-year review, c</w:t>
      </w:r>
      <w:r w:rsidR="00B704EF" w:rsidRPr="009B1C0C">
        <w:t>ommittees and administrators making tenure evaluations o</w:t>
      </w:r>
      <w:r w:rsidR="006938AE" w:rsidRPr="009B1C0C">
        <w:t>f candidates undergoing a sixth-</w:t>
      </w:r>
      <w:r w:rsidR="00B704EF" w:rsidRPr="009B1C0C">
        <w:t>year review must select one of the following recommendations and address in specific terms the recommendation in a letter to candidate</w:t>
      </w:r>
      <w:r w:rsidR="006938AE" w:rsidRPr="009B1C0C">
        <w:t>s:</w:t>
      </w:r>
    </w:p>
    <w:p w:rsidR="00B704EF" w:rsidRPr="009B1C0C" w:rsidRDefault="00B704EF" w:rsidP="00934D09">
      <w:pPr>
        <w:pStyle w:val="ListParagraph"/>
        <w:rPr>
          <w:b w:val="0"/>
          <w:sz w:val="24"/>
          <w:szCs w:val="24"/>
        </w:rPr>
      </w:pPr>
      <w:r w:rsidRPr="009B1C0C">
        <w:rPr>
          <w:b w:val="0"/>
          <w:sz w:val="24"/>
          <w:szCs w:val="24"/>
        </w:rPr>
        <w:t>Recommend</w:t>
      </w:r>
      <w:r w:rsidR="00FB0480" w:rsidRPr="009B1C0C">
        <w:rPr>
          <w:b w:val="0"/>
          <w:sz w:val="24"/>
          <w:szCs w:val="24"/>
        </w:rPr>
        <w:t xml:space="preserve"> tenure not be granted</w:t>
      </w:r>
      <w:r w:rsidRPr="009B1C0C">
        <w:rPr>
          <w:b w:val="0"/>
          <w:sz w:val="24"/>
          <w:szCs w:val="24"/>
        </w:rPr>
        <w:t>.</w:t>
      </w:r>
    </w:p>
    <w:p w:rsidR="004862F8" w:rsidRPr="009B1C0C" w:rsidRDefault="00B704EF" w:rsidP="00934D09">
      <w:pPr>
        <w:pStyle w:val="ListParagraph"/>
        <w:numPr>
          <w:ilvl w:val="0"/>
          <w:numId w:val="9"/>
        </w:numPr>
        <w:rPr>
          <w:b w:val="0"/>
          <w:sz w:val="24"/>
          <w:szCs w:val="24"/>
        </w:rPr>
      </w:pPr>
      <w:r w:rsidRPr="009B1C0C">
        <w:rPr>
          <w:b w:val="0"/>
          <w:sz w:val="24"/>
          <w:szCs w:val="24"/>
        </w:rPr>
        <w:t>Recommend tenure be granted.</w:t>
      </w:r>
    </w:p>
    <w:p w:rsidR="00766BC6" w:rsidRPr="009B1C0C" w:rsidRDefault="00766BC6" w:rsidP="00934D09"/>
    <w:p w:rsidR="00C52790" w:rsidRPr="009B1C0C" w:rsidRDefault="00C52790" w:rsidP="00934D09">
      <w:pPr>
        <w:pStyle w:val="ListParagraph"/>
        <w:numPr>
          <w:ilvl w:val="0"/>
          <w:numId w:val="15"/>
        </w:numPr>
        <w:rPr>
          <w:sz w:val="24"/>
          <w:szCs w:val="24"/>
          <w:u w:val="single"/>
        </w:rPr>
        <w:sectPr w:rsidR="00C52790" w:rsidRPr="009B1C0C" w:rsidSect="00744472">
          <w:headerReference w:type="default" r:id="rId8"/>
          <w:footerReference w:type="default" r:id="rId9"/>
          <w:pgSz w:w="12240" w:h="15840"/>
          <w:pgMar w:top="1440" w:right="1440" w:bottom="1440" w:left="1440" w:header="720" w:footer="720" w:gutter="0"/>
          <w:cols w:space="720"/>
          <w:docGrid w:linePitch="360"/>
        </w:sectPr>
      </w:pPr>
    </w:p>
    <w:p w:rsidR="00321290" w:rsidRPr="00912565" w:rsidRDefault="00AD4645" w:rsidP="00934D09">
      <w:pPr>
        <w:pStyle w:val="ListParagraph"/>
        <w:numPr>
          <w:ilvl w:val="0"/>
          <w:numId w:val="15"/>
        </w:numPr>
        <w:rPr>
          <w:sz w:val="24"/>
          <w:szCs w:val="24"/>
          <w:u w:val="single"/>
        </w:rPr>
      </w:pPr>
      <w:r w:rsidRPr="00912565">
        <w:rPr>
          <w:sz w:val="24"/>
          <w:szCs w:val="24"/>
          <w:u w:val="single"/>
        </w:rPr>
        <w:lastRenderedPageBreak/>
        <w:t>REQUIREMENTS FOR SUCCESSFUL EVALUATION</w:t>
      </w:r>
    </w:p>
    <w:p w:rsidR="002D4664" w:rsidRPr="00222DC3" w:rsidRDefault="002D4664"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rPr>
          <w:sz w:val="10"/>
          <w:szCs w:val="10"/>
        </w:rPr>
      </w:pPr>
    </w:p>
    <w:p w:rsidR="008D16D6" w:rsidRPr="009B1C0C" w:rsidRDefault="008D16D6"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pPr>
      <w:r w:rsidRPr="009B1C0C">
        <w:t xml:space="preserve">To be recommended for tenure, the candidate must: </w:t>
      </w:r>
    </w:p>
    <w:p w:rsidR="008D16D6" w:rsidRPr="009B1C0C" w:rsidRDefault="008D16D6" w:rsidP="00934D09">
      <w:pPr>
        <w:pStyle w:val="ListParagraph"/>
        <w:numPr>
          <w:ilvl w:val="0"/>
          <w:numId w:val="13"/>
        </w:numPr>
        <w:rPr>
          <w:b w:val="0"/>
          <w:sz w:val="24"/>
          <w:szCs w:val="24"/>
        </w:rPr>
      </w:pPr>
      <w:r w:rsidRPr="009B1C0C">
        <w:rPr>
          <w:b w:val="0"/>
          <w:sz w:val="24"/>
          <w:szCs w:val="24"/>
        </w:rPr>
        <w:t>have a terminal degree as outlined in the Weber State University Policy and Procedures Manual (PPM) 8.6 and 8.11</w:t>
      </w:r>
      <w:r w:rsidR="006938AE" w:rsidRPr="009B1C0C">
        <w:rPr>
          <w:b w:val="0"/>
          <w:sz w:val="24"/>
          <w:szCs w:val="24"/>
        </w:rPr>
        <w:t>,</w:t>
      </w:r>
    </w:p>
    <w:p w:rsidR="008D16D6" w:rsidRPr="009B1C0C" w:rsidRDefault="008D16D6" w:rsidP="00934D09">
      <w:pPr>
        <w:pStyle w:val="ListParagraph"/>
        <w:numPr>
          <w:ilvl w:val="0"/>
          <w:numId w:val="13"/>
        </w:numPr>
        <w:rPr>
          <w:b w:val="0"/>
          <w:sz w:val="24"/>
          <w:szCs w:val="24"/>
        </w:rPr>
      </w:pPr>
      <w:r w:rsidRPr="009B1C0C">
        <w:rPr>
          <w:b w:val="0"/>
          <w:sz w:val="24"/>
          <w:szCs w:val="24"/>
        </w:rPr>
        <w:t>meet the standards of one of the tenure channels and provide evidence of appropriate performance, and</w:t>
      </w:r>
    </w:p>
    <w:p w:rsidR="008D16D6" w:rsidRPr="009B1C0C" w:rsidRDefault="008D16D6" w:rsidP="00934D09">
      <w:pPr>
        <w:pStyle w:val="ListParagraph"/>
        <w:numPr>
          <w:ilvl w:val="0"/>
          <w:numId w:val="13"/>
        </w:numPr>
        <w:rPr>
          <w:sz w:val="24"/>
          <w:szCs w:val="24"/>
        </w:rPr>
      </w:pPr>
      <w:r w:rsidRPr="009B1C0C">
        <w:rPr>
          <w:b w:val="0"/>
          <w:sz w:val="24"/>
          <w:szCs w:val="24"/>
        </w:rPr>
        <w:t>adhere to professional standards of behavior as outlined in PPM 9.3 through 9.8.</w:t>
      </w:r>
    </w:p>
    <w:p w:rsidR="008D16D6" w:rsidRPr="009B1C0C" w:rsidRDefault="008D16D6" w:rsidP="00934D09">
      <w:pPr>
        <w:pStyle w:val="ListParagraph"/>
        <w:numPr>
          <w:ilvl w:val="0"/>
          <w:numId w:val="0"/>
        </w:numPr>
        <w:ind w:left="1080"/>
        <w:rPr>
          <w:sz w:val="24"/>
          <w:szCs w:val="24"/>
        </w:rPr>
      </w:pPr>
    </w:p>
    <w:p w:rsidR="00321290" w:rsidRPr="009B1C0C" w:rsidRDefault="00321290" w:rsidP="00934D09">
      <w:pPr>
        <w:pStyle w:val="ListParagraph"/>
        <w:numPr>
          <w:ilvl w:val="0"/>
          <w:numId w:val="15"/>
        </w:numPr>
        <w:rPr>
          <w:sz w:val="24"/>
          <w:szCs w:val="24"/>
          <w:u w:val="single"/>
        </w:rPr>
      </w:pPr>
      <w:r w:rsidRPr="009B1C0C">
        <w:rPr>
          <w:sz w:val="24"/>
          <w:szCs w:val="24"/>
          <w:u w:val="single"/>
        </w:rPr>
        <w:t>CATEGORIES FOR TENURE EVALUATION</w:t>
      </w:r>
    </w:p>
    <w:p w:rsidR="00347FC3" w:rsidRPr="00222DC3" w:rsidRDefault="00347FC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9958D0" w:rsidRPr="009B1C0C" w:rsidRDefault="009958D0"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 xml:space="preserve">Three categories are delineated as areas of evaluation for tenure consideration: teaching, </w:t>
      </w:r>
      <w:r w:rsidR="00347FC3" w:rsidRPr="009B1C0C">
        <w:t>scholarship</w:t>
      </w:r>
      <w:r w:rsidRPr="009B1C0C">
        <w:t xml:space="preserve">, and service. </w:t>
      </w:r>
      <w:r w:rsidR="00925EC1" w:rsidRPr="009B1C0C">
        <w:t xml:space="preserve"> Although most activities will fall within one area or another, aspects of some activities may be described in different areas.  For example, aspects of undergraduate research may be described in Teaching (mentoring activities), Scholarship (conference presentations or publications), and Service (BIS supervision).  Similarly, the activities of clinical faculty may be categorized as Service to the community (seeing patients) or the discipline (clinical supervision), Teaching (using case studies), and Scholarship (conference publications or presentations).  </w:t>
      </w:r>
      <w:r w:rsidRPr="009B1C0C">
        <w:t xml:space="preserve">Within each area, the faculty member being considered for tenure shall be rated as excellent, good, satisfactory, or </w:t>
      </w:r>
      <w:r w:rsidR="005D3269" w:rsidRPr="009B1C0C">
        <w:t>unsatisfactory</w:t>
      </w:r>
      <w:r w:rsidRPr="009B1C0C">
        <w:t xml:space="preserve">. </w:t>
      </w:r>
      <w:r w:rsidR="002A228A" w:rsidRPr="009B1C0C">
        <w:t xml:space="preserve"> </w:t>
      </w:r>
      <w:r w:rsidRPr="009B1C0C">
        <w:t xml:space="preserve">Each category for evaluation is to be rated as noted under the section on ratings. </w:t>
      </w:r>
    </w:p>
    <w:p w:rsidR="00347FC3" w:rsidRPr="009B1C0C" w:rsidRDefault="00347FC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rStyle w:val="Strong"/>
          <w:b w:val="0"/>
          <w:bCs w:val="0"/>
        </w:rPr>
      </w:pPr>
    </w:p>
    <w:p w:rsidR="00321290" w:rsidRPr="009B1C0C" w:rsidRDefault="00321290" w:rsidP="00934D09">
      <w:pPr>
        <w:pStyle w:val="ListParagraph"/>
        <w:numPr>
          <w:ilvl w:val="0"/>
          <w:numId w:val="15"/>
        </w:numPr>
        <w:rPr>
          <w:sz w:val="24"/>
          <w:szCs w:val="24"/>
          <w:u w:val="single"/>
        </w:rPr>
      </w:pPr>
      <w:r w:rsidRPr="009B1C0C">
        <w:rPr>
          <w:sz w:val="24"/>
          <w:szCs w:val="24"/>
          <w:u w:val="single"/>
        </w:rPr>
        <w:t>TEACHING</w:t>
      </w:r>
    </w:p>
    <w:p w:rsidR="002E1FB1" w:rsidRPr="00222DC3" w:rsidRDefault="002E1FB1"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460801" w:rsidRPr="009B1C0C" w:rsidRDefault="00460801"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strike/>
        </w:rPr>
      </w:pPr>
      <w:r w:rsidRPr="009B1C0C">
        <w:t xml:space="preserve">Effective teaching or instruction is the most important duty of faculty members at Weber State University.  </w:t>
      </w:r>
      <w:r w:rsidR="005D3269" w:rsidRPr="009B1C0C">
        <w:t xml:space="preserve">Deficiencies in teaching cannot be compensated for by exceptional performance in the other areas.  </w:t>
      </w:r>
      <w:r w:rsidRPr="009B1C0C">
        <w:t xml:space="preserve">Teaching is simply defined as any transfer of </w:t>
      </w:r>
      <w:r w:rsidR="000045FE" w:rsidRPr="009B1C0C">
        <w:t xml:space="preserve">relevant </w:t>
      </w:r>
      <w:r w:rsidRPr="009B1C0C">
        <w:t>knowledge or skills from faculty to students, irrespective of context, medium, process, or outcomes (e.g., whether or not it results in a grade).  Teaching activities i</w:t>
      </w:r>
      <w:r w:rsidR="000045FE" w:rsidRPr="009B1C0C">
        <w:t xml:space="preserve">nclude, but are not limited to: </w:t>
      </w:r>
      <w:r w:rsidRPr="009B1C0C">
        <w:t>classroom instruction, laboratory sections, field work or field trips, on-line instruction, and a variety of advisory, supervisory, or sponsorship roles including service</w:t>
      </w:r>
      <w:r w:rsidR="00FB0480" w:rsidRPr="009B1C0C">
        <w:t xml:space="preserve"> or community-based</w:t>
      </w:r>
      <w:r w:rsidRPr="009B1C0C">
        <w:t xml:space="preserve"> learning, undergraduate research, student clubs and organizations, events, and programs.  </w:t>
      </w:r>
      <w:r w:rsidR="006132C8" w:rsidRPr="009B1C0C">
        <w:t xml:space="preserve">All </w:t>
      </w:r>
      <w:r w:rsidR="00A7286E" w:rsidRPr="009B1C0C">
        <w:t>forms</w:t>
      </w:r>
      <w:r w:rsidR="006132C8" w:rsidRPr="009B1C0C">
        <w:t xml:space="preserve"> of teaching a faculty member </w:t>
      </w:r>
      <w:r w:rsidR="00E24284" w:rsidRPr="009B1C0C">
        <w:t>performs,</w:t>
      </w:r>
      <w:r w:rsidR="006132C8" w:rsidRPr="009B1C0C">
        <w:t xml:space="preserve"> and all </w:t>
      </w:r>
      <w:r w:rsidR="00E24284" w:rsidRPr="009B1C0C">
        <w:t>preparatory activities</w:t>
      </w:r>
      <w:r w:rsidR="006132C8" w:rsidRPr="009B1C0C">
        <w:t xml:space="preserve"> in </w:t>
      </w:r>
      <w:r w:rsidR="00E24284" w:rsidRPr="009B1C0C">
        <w:t>service of</w:t>
      </w:r>
      <w:r w:rsidR="006132C8" w:rsidRPr="009B1C0C">
        <w:t xml:space="preserve"> teaching</w:t>
      </w:r>
      <w:r w:rsidR="006938AE" w:rsidRPr="009B1C0C">
        <w:t>,</w:t>
      </w:r>
      <w:r w:rsidR="00E24284" w:rsidRPr="009B1C0C">
        <w:t xml:space="preserve"> </w:t>
      </w:r>
      <w:r w:rsidR="006132C8" w:rsidRPr="009B1C0C">
        <w:t xml:space="preserve">will be given consideration by the Rank and Tenure Committee based on their merits.  </w:t>
      </w:r>
      <w:r w:rsidR="00E24284" w:rsidRPr="009B1C0C">
        <w:t>However, i</w:t>
      </w:r>
      <w:r w:rsidR="006132C8" w:rsidRPr="009B1C0C">
        <w:t>t is the candidate’s responsibili</w:t>
      </w:r>
      <w:r w:rsidR="00E24284" w:rsidRPr="009B1C0C">
        <w:t>ty to document the qua</w:t>
      </w:r>
      <w:r w:rsidR="00DA3167" w:rsidRPr="009B1C0C">
        <w:t>l</w:t>
      </w:r>
      <w:r w:rsidR="00E24284" w:rsidRPr="009B1C0C">
        <w:t xml:space="preserve">ity and effectiveness </w:t>
      </w:r>
      <w:r w:rsidR="006132C8" w:rsidRPr="009B1C0C">
        <w:t>of their teaching</w:t>
      </w:r>
      <w:r w:rsidR="00E24284" w:rsidRPr="009B1C0C">
        <w:t xml:space="preserve"> or any related preparatory activities</w:t>
      </w:r>
      <w:r w:rsidR="006132C8" w:rsidRPr="009B1C0C">
        <w:t>.</w:t>
      </w:r>
      <w:r w:rsidR="00E24284" w:rsidRPr="009B1C0C">
        <w:t xml:space="preserve"> </w:t>
      </w:r>
    </w:p>
    <w:p w:rsidR="00460801" w:rsidRPr="009B1C0C" w:rsidRDefault="00460801" w:rsidP="00934D09"/>
    <w:p w:rsidR="00460801" w:rsidRPr="009B1C0C" w:rsidRDefault="000045FE" w:rsidP="00934D09">
      <w:r w:rsidRPr="009B1C0C">
        <w:t>T</w:t>
      </w:r>
      <w:r w:rsidR="006938AE" w:rsidRPr="009B1C0C">
        <w:t>eaching is an on</w:t>
      </w:r>
      <w:r w:rsidR="00460801" w:rsidRPr="009B1C0C">
        <w:t xml:space="preserve">going activity that involves the evaluation </w:t>
      </w:r>
      <w:r w:rsidR="006B533C" w:rsidRPr="009B1C0C">
        <w:t xml:space="preserve">of </w:t>
      </w:r>
      <w:r w:rsidR="00460801" w:rsidRPr="009B1C0C">
        <w:t>faculty performance by students, peers, a</w:t>
      </w:r>
      <w:r w:rsidR="00F20CC9" w:rsidRPr="009B1C0C">
        <w:t xml:space="preserve">nd responsible administrators. </w:t>
      </w:r>
      <w:r w:rsidR="002A228A" w:rsidRPr="009B1C0C">
        <w:t xml:space="preserve"> </w:t>
      </w:r>
      <w:r w:rsidRPr="009B1C0C">
        <w:t>E</w:t>
      </w:r>
      <w:r w:rsidR="00460801" w:rsidRPr="009B1C0C">
        <w:t xml:space="preserve">vidence of teaching effectiveness </w:t>
      </w:r>
      <w:r w:rsidRPr="009B1C0C">
        <w:t>must include</w:t>
      </w:r>
      <w:r w:rsidR="00DD3932" w:rsidRPr="009B1C0C">
        <w:t>,</w:t>
      </w:r>
      <w:r w:rsidR="00460801" w:rsidRPr="009B1C0C">
        <w:t xml:space="preserve"> </w:t>
      </w:r>
      <w:r w:rsidRPr="009B1C0C">
        <w:t xml:space="preserve">but </w:t>
      </w:r>
      <w:r w:rsidR="006938AE" w:rsidRPr="009B1C0C">
        <w:t>is</w:t>
      </w:r>
      <w:r w:rsidRPr="009B1C0C">
        <w:t xml:space="preserve"> not limited to</w:t>
      </w:r>
      <w:r w:rsidR="00DD3932" w:rsidRPr="009B1C0C">
        <w:t>,</w:t>
      </w:r>
      <w:r w:rsidRPr="009B1C0C">
        <w:t xml:space="preserve"> </w:t>
      </w:r>
      <w:r w:rsidR="00AD4645" w:rsidRPr="00912565">
        <w:t>Student</w:t>
      </w:r>
      <w:r w:rsidR="00AD4645">
        <w:t xml:space="preserve"> </w:t>
      </w:r>
      <w:r w:rsidR="00E24284" w:rsidRPr="009B1C0C">
        <w:t>Course Evaluations, Self Evaluation, and Peer Review.</w:t>
      </w:r>
    </w:p>
    <w:p w:rsidR="000045FE" w:rsidRPr="009B1C0C" w:rsidRDefault="000045FE" w:rsidP="00934D09"/>
    <w:p w:rsidR="006D7158" w:rsidRPr="009B1C0C" w:rsidRDefault="008F5F97" w:rsidP="00934D09">
      <w:r w:rsidRPr="009B1C0C">
        <w:t>Department, college, and/or university</w:t>
      </w:r>
      <w:r w:rsidR="002A228A" w:rsidRPr="009B1C0C">
        <w:t>-</w:t>
      </w:r>
      <w:r w:rsidR="00460801" w:rsidRPr="009B1C0C">
        <w:t>app</w:t>
      </w:r>
      <w:r w:rsidR="00E24284" w:rsidRPr="009B1C0C">
        <w:t>roved student course evaluation results are an important source of evidence of</w:t>
      </w:r>
      <w:r w:rsidR="00460801" w:rsidRPr="009B1C0C">
        <w:t xml:space="preserve"> faculty teaching</w:t>
      </w:r>
      <w:r w:rsidR="00E24284" w:rsidRPr="009B1C0C">
        <w:t xml:space="preserve"> quality</w:t>
      </w:r>
      <w:r w:rsidR="00460801" w:rsidRPr="009B1C0C">
        <w:t>.</w:t>
      </w:r>
      <w:r w:rsidR="006B533C" w:rsidRPr="009B1C0C">
        <w:t xml:space="preserve"> </w:t>
      </w:r>
      <w:r w:rsidR="00460801" w:rsidRPr="009B1C0C">
        <w:t xml:space="preserve"> </w:t>
      </w:r>
      <w:r w:rsidR="006D7158" w:rsidRPr="009B1C0C">
        <w:t xml:space="preserve">Candidates must be evaluated in all courses </w:t>
      </w:r>
      <w:r w:rsidR="00AA10DF" w:rsidRPr="009B1C0C">
        <w:t xml:space="preserve">(including online courses, laboratory sections, field classes, and the like) </w:t>
      </w:r>
      <w:r w:rsidR="006D7158" w:rsidRPr="009B1C0C">
        <w:t>every semester.</w:t>
      </w:r>
    </w:p>
    <w:p w:rsidR="00AA10DF" w:rsidRPr="009B1C0C" w:rsidRDefault="00AA10DF" w:rsidP="00934D09">
      <w:pPr>
        <w:rPr>
          <w:strike/>
        </w:rPr>
      </w:pPr>
    </w:p>
    <w:p w:rsidR="004F39C8" w:rsidRPr="009B1C0C" w:rsidRDefault="00AA10DF" w:rsidP="00934D09">
      <w:r w:rsidRPr="009B1C0C">
        <w:lastRenderedPageBreak/>
        <w:t>D</w:t>
      </w:r>
      <w:r w:rsidR="00460801" w:rsidRPr="009B1C0C">
        <w:t>ata acquired from thes</w:t>
      </w:r>
      <w:r w:rsidR="006132C8" w:rsidRPr="009B1C0C">
        <w:t xml:space="preserve">e student evaluations </w:t>
      </w:r>
      <w:r w:rsidR="00460801" w:rsidRPr="009B1C0C">
        <w:t xml:space="preserve">may be statistically summarized and compared by the faculty member, a department chair, or a review committee, to other reference groups (e.g., department members teaching the same class, the department as a whole, </w:t>
      </w:r>
      <w:r w:rsidR="006B533C" w:rsidRPr="009B1C0C">
        <w:t xml:space="preserve">or </w:t>
      </w:r>
      <w:r w:rsidR="00460801" w:rsidRPr="009B1C0C">
        <w:t>other college facu</w:t>
      </w:r>
      <w:r w:rsidR="004F39C8" w:rsidRPr="009B1C0C">
        <w:t xml:space="preserve">lty teaching similar classes). </w:t>
      </w:r>
      <w:r w:rsidR="006B533C" w:rsidRPr="009B1C0C">
        <w:t xml:space="preserve"> </w:t>
      </w:r>
      <w:r w:rsidR="00460801" w:rsidRPr="009B1C0C">
        <w:t xml:space="preserve">Other teaching assessments may also be used to assess teaching, including ones </w:t>
      </w:r>
      <w:r w:rsidR="004F39C8" w:rsidRPr="009B1C0C">
        <w:t xml:space="preserve">used for departmental or general education assessment.  </w:t>
      </w:r>
      <w:r w:rsidR="00DA3167" w:rsidRPr="009B1C0C">
        <w:t>Furthermore, i</w:t>
      </w:r>
      <w:r w:rsidR="004F39C8" w:rsidRPr="009B1C0C">
        <w:t>t is incumbent on candidate</w:t>
      </w:r>
      <w:r w:rsidR="006938AE" w:rsidRPr="009B1C0C">
        <w:t>s</w:t>
      </w:r>
      <w:r w:rsidR="004F39C8" w:rsidRPr="009B1C0C">
        <w:t xml:space="preserve"> to explain how the course evaluation data reflect their teaching effectiveness.</w:t>
      </w:r>
    </w:p>
    <w:p w:rsidR="00460801" w:rsidRPr="009B1C0C" w:rsidRDefault="00460801" w:rsidP="00934D09"/>
    <w:p w:rsidR="00460801" w:rsidRPr="009B1C0C" w:rsidRDefault="00526F08" w:rsidP="00934D09">
      <w:r w:rsidRPr="009B1C0C">
        <w:t>A f</w:t>
      </w:r>
      <w:r w:rsidR="00460801" w:rsidRPr="009B1C0C">
        <w:t>ac</w:t>
      </w:r>
      <w:r w:rsidR="006938AE" w:rsidRPr="009B1C0C">
        <w:t>ulty member</w:t>
      </w:r>
      <w:r w:rsidRPr="009B1C0C">
        <w:t>’</w:t>
      </w:r>
      <w:r w:rsidR="006938AE" w:rsidRPr="009B1C0C">
        <w:t>s own critical self-</w:t>
      </w:r>
      <w:r w:rsidR="00460801" w:rsidRPr="009B1C0C">
        <w:t xml:space="preserve">evaluation of </w:t>
      </w:r>
      <w:r w:rsidR="00104C2C" w:rsidRPr="00104C2C">
        <w:t>his or her</w:t>
      </w:r>
      <w:r w:rsidR="00460801" w:rsidRPr="009B1C0C">
        <w:t xml:space="preserve"> teaching in a Teaching Profile is also an important source of evidence </w:t>
      </w:r>
      <w:r w:rsidR="000045FE" w:rsidRPr="009B1C0C">
        <w:t xml:space="preserve">of </w:t>
      </w:r>
      <w:r w:rsidRPr="009B1C0C">
        <w:t xml:space="preserve">their </w:t>
      </w:r>
      <w:r w:rsidR="000045FE" w:rsidRPr="009B1C0C">
        <w:t>teaching effectiveness.  Candidates should provide</w:t>
      </w:r>
      <w:r w:rsidR="00460801" w:rsidRPr="009B1C0C">
        <w:t xml:space="preserve"> evidence that they are competent in </w:t>
      </w:r>
      <w:r w:rsidR="00A80B78" w:rsidRPr="009B1C0C">
        <w:t xml:space="preserve">the </w:t>
      </w:r>
      <w:r w:rsidR="00460801" w:rsidRPr="009B1C0C">
        <w:t>three different elements of teaching: Subject Knowledge (evidence of the candidate</w:t>
      </w:r>
      <w:r w:rsidR="002A228A" w:rsidRPr="009B1C0C">
        <w:t>’</w:t>
      </w:r>
      <w:r w:rsidR="00460801" w:rsidRPr="009B1C0C">
        <w:t xml:space="preserve">s knowledge and/or skills necessary to provide up-to-date instruction for the courses they teach), Pedagogy (evidence of knowledge of the issues surrounding the pedagogical approach they choose and </w:t>
      </w:r>
      <w:r w:rsidR="00A80B78" w:rsidRPr="009B1C0C">
        <w:t>demonstration of</w:t>
      </w:r>
      <w:r w:rsidR="00460801" w:rsidRPr="009B1C0C">
        <w:t xml:space="preserve"> the evolution of and purposes for their choices), and A</w:t>
      </w:r>
      <w:r w:rsidR="00516DC9" w:rsidRPr="009B1C0C">
        <w:t>ssessment of Student Learning (c</w:t>
      </w:r>
      <w:r w:rsidR="00460801" w:rsidRPr="009B1C0C">
        <w:t>andidates must demons</w:t>
      </w:r>
      <w:r w:rsidR="0055618F">
        <w:t>trate that they assess students’</w:t>
      </w:r>
      <w:r w:rsidR="00460801" w:rsidRPr="009B1C0C">
        <w:t xml:space="preserve"> learning with valid, reliable assessment methods and tools which are tied to course and depar</w:t>
      </w:r>
      <w:r w:rsidR="004F39C8" w:rsidRPr="009B1C0C">
        <w:t>tment student learning outcomes</w:t>
      </w:r>
      <w:r w:rsidR="00460801" w:rsidRPr="009B1C0C">
        <w:t xml:space="preserve">).  </w:t>
      </w:r>
    </w:p>
    <w:p w:rsidR="00460801" w:rsidRPr="009B1C0C" w:rsidRDefault="00460801" w:rsidP="00934D09"/>
    <w:p w:rsidR="00E45790" w:rsidRPr="009B1C0C" w:rsidRDefault="004F39C8" w:rsidP="00934D09">
      <w:r w:rsidRPr="009B1C0C">
        <w:t xml:space="preserve">PPM </w:t>
      </w:r>
      <w:r w:rsidR="000C3BF3" w:rsidRPr="009B1C0C">
        <w:t>(</w:t>
      </w:r>
      <w:r w:rsidRPr="009B1C0C">
        <w:t>8-11 IV E 3</w:t>
      </w:r>
      <w:r w:rsidR="000C3BF3" w:rsidRPr="009B1C0C">
        <w:t>)</w:t>
      </w:r>
      <w:r w:rsidRPr="009B1C0C">
        <w:t xml:space="preserve"> requires</w:t>
      </w:r>
      <w:r w:rsidR="00460801" w:rsidRPr="009B1C0C">
        <w:t xml:space="preserve"> that at least every three years, the teaching perform</w:t>
      </w:r>
      <w:r w:rsidR="00E45790" w:rsidRPr="009B1C0C">
        <w:t xml:space="preserve">ance of </w:t>
      </w:r>
      <w:r w:rsidR="00104C2C" w:rsidRPr="00104C2C">
        <w:t>tenure-track</w:t>
      </w:r>
      <w:r w:rsidR="00E45790" w:rsidRPr="00104C2C">
        <w:t xml:space="preserve"> faculty</w:t>
      </w:r>
      <w:r w:rsidR="00460801" w:rsidRPr="00104C2C">
        <w:t xml:space="preserve"> be evaluated by a peer review committee (comprised of at least three depar</w:t>
      </w:r>
      <w:r w:rsidR="00460801" w:rsidRPr="009B1C0C">
        <w:t>tment and non-departmental members, one of which must be the department chair).</w:t>
      </w:r>
      <w:r w:rsidR="00516DC9" w:rsidRPr="009B1C0C">
        <w:t xml:space="preserve"> </w:t>
      </w:r>
      <w:r w:rsidR="00460801" w:rsidRPr="009B1C0C">
        <w:t xml:space="preserve"> </w:t>
      </w:r>
      <w:r w:rsidR="00E45790" w:rsidRPr="009B1C0C">
        <w:t>The Peer Review C</w:t>
      </w:r>
      <w:r w:rsidR="00A15749" w:rsidRPr="009B1C0C">
        <w:t xml:space="preserve">ommittee </w:t>
      </w:r>
      <w:r w:rsidR="00E45790" w:rsidRPr="009B1C0C">
        <w:t xml:space="preserve">provides information about the candidate’s teaching performance to the Department Tenure and Promotion Committee. </w:t>
      </w:r>
    </w:p>
    <w:p w:rsidR="00553BC5" w:rsidRPr="009B1C0C" w:rsidRDefault="00CB2BD0" w:rsidP="00934D09"/>
    <w:p w:rsidR="00321290" w:rsidRPr="009B1C0C" w:rsidRDefault="00321290" w:rsidP="00934D09">
      <w:pPr>
        <w:pStyle w:val="ListParagraph"/>
        <w:numPr>
          <w:ilvl w:val="0"/>
          <w:numId w:val="15"/>
        </w:numPr>
        <w:rPr>
          <w:sz w:val="24"/>
          <w:szCs w:val="24"/>
          <w:u w:val="single"/>
        </w:rPr>
      </w:pPr>
      <w:r w:rsidRPr="009B1C0C">
        <w:rPr>
          <w:sz w:val="24"/>
          <w:szCs w:val="24"/>
          <w:u w:val="single"/>
        </w:rPr>
        <w:t>SCHOLARSHIP</w:t>
      </w:r>
    </w:p>
    <w:p w:rsidR="00F070DF" w:rsidRPr="00222DC3" w:rsidRDefault="00F070DF" w:rsidP="00934D09">
      <w:pPr>
        <w:rPr>
          <w:sz w:val="10"/>
          <w:szCs w:val="10"/>
        </w:rPr>
      </w:pPr>
    </w:p>
    <w:p w:rsidR="000C5444" w:rsidRPr="009B1C0C" w:rsidRDefault="007D1F13" w:rsidP="00934D09">
      <w:r w:rsidRPr="009B1C0C">
        <w:t xml:space="preserve">The candidate is expected to produce </w:t>
      </w:r>
      <w:r w:rsidR="00875844" w:rsidRPr="009B1C0C">
        <w:t>scholarship</w:t>
      </w:r>
      <w:r w:rsidRPr="009B1C0C">
        <w:t>.  All types of scholarship will be given consideration by the Rank and Tenure Committee based on their merit.  It is the candidate’s responsibility to document the significance</w:t>
      </w:r>
      <w:r w:rsidR="000C5444" w:rsidRPr="009B1C0C">
        <w:t>, impact,</w:t>
      </w:r>
      <w:r w:rsidRPr="009B1C0C">
        <w:t xml:space="preserve"> and quantity of their scholarship.  </w:t>
      </w:r>
    </w:p>
    <w:p w:rsidR="007D1F13" w:rsidRPr="009B1C0C" w:rsidRDefault="000C5444" w:rsidP="00934D09">
      <w:r w:rsidRPr="009B1C0C">
        <w:t>Si</w:t>
      </w:r>
      <w:r w:rsidR="00666F16">
        <w:t xml:space="preserve">gnificant scholarship is judged </w:t>
      </w:r>
      <w:r w:rsidR="008D7C00" w:rsidRPr="00666F16">
        <w:t>as</w:t>
      </w:r>
      <w:r w:rsidR="00666F16">
        <w:t xml:space="preserve"> </w:t>
      </w:r>
      <w:r w:rsidR="0055618F">
        <w:t>such by peers,</w:t>
      </w:r>
      <w:r w:rsidR="008D4566" w:rsidRPr="009B1C0C">
        <w:t xml:space="preserve"> and</w:t>
      </w:r>
      <w:r w:rsidRPr="009B1C0C">
        <w:t xml:space="preserve"> impactful scholarship influences and informs policy- and decision-making in relevant groups/institutions</w:t>
      </w:r>
      <w:r w:rsidR="008D4566" w:rsidRPr="009B1C0C">
        <w:t xml:space="preserve">.  A candidate producing </w:t>
      </w:r>
      <w:r w:rsidR="008D7C00" w:rsidRPr="00104C2C">
        <w:t>notably</w:t>
      </w:r>
      <w:r w:rsidR="008D7C00">
        <w:t xml:space="preserve"> </w:t>
      </w:r>
      <w:r w:rsidR="008D4566" w:rsidRPr="009B1C0C">
        <w:t>significant or impactful scholarship may require fewer items to receive a given rating</w:t>
      </w:r>
      <w:r w:rsidR="008D7C00">
        <w:t xml:space="preserve"> </w:t>
      </w:r>
      <w:r w:rsidR="008D7C00" w:rsidRPr="00104C2C">
        <w:t>than would otherwise be required</w:t>
      </w:r>
      <w:r w:rsidR="008D4566" w:rsidRPr="009B1C0C">
        <w:t xml:space="preserve">.  </w:t>
      </w:r>
      <w:r w:rsidR="007D1F13" w:rsidRPr="009B1C0C">
        <w:t>Evaluation committees and candidates are encouraged to obtain independent evaluation of scholarly work from within or outside of the university to assist in establishing the relative merits of the candidate’s scholarship.  The following l</w:t>
      </w:r>
      <w:r w:rsidR="00FB0480" w:rsidRPr="009B1C0C">
        <w:t>ist of scholarly work is not exhaustive</w:t>
      </w:r>
      <w:r w:rsidR="007D1F13" w:rsidRPr="009B1C0C">
        <w:t>.</w:t>
      </w:r>
    </w:p>
    <w:p w:rsidR="007D1F13" w:rsidRPr="009B1C0C" w:rsidRDefault="007D1F13" w:rsidP="00934D09">
      <w:pPr>
        <w:pStyle w:val="ListParagraph"/>
        <w:rPr>
          <w:b w:val="0"/>
          <w:sz w:val="24"/>
          <w:szCs w:val="24"/>
        </w:rPr>
      </w:pPr>
      <w:r w:rsidRPr="009B1C0C">
        <w:rPr>
          <w:b w:val="0"/>
          <w:sz w:val="24"/>
          <w:szCs w:val="24"/>
        </w:rPr>
        <w:t xml:space="preserve">Publication of books or articles or chapters subject to peer review and formal acceptance processes.  It is the candidate’s responsibility to make the case that a particular publication is peer-reviewed, to establish the significance of the publishing forum, and to document the extent of </w:t>
      </w:r>
      <w:r w:rsidR="008D7C00" w:rsidRPr="00104C2C">
        <w:rPr>
          <w:b w:val="0"/>
          <w:sz w:val="24"/>
          <w:szCs w:val="24"/>
        </w:rPr>
        <w:t>his or her</w:t>
      </w:r>
      <w:r w:rsidR="008D7C00">
        <w:rPr>
          <w:b w:val="0"/>
          <w:sz w:val="24"/>
          <w:szCs w:val="24"/>
        </w:rPr>
        <w:t xml:space="preserve"> </w:t>
      </w:r>
      <w:r w:rsidRPr="009B1C0C">
        <w:rPr>
          <w:b w:val="0"/>
          <w:sz w:val="24"/>
          <w:szCs w:val="24"/>
        </w:rPr>
        <w:t>contributions to a jointly authored publication.</w:t>
      </w:r>
    </w:p>
    <w:p w:rsidR="007D1F13" w:rsidRPr="009B1C0C" w:rsidRDefault="007D1F13" w:rsidP="00934D09">
      <w:pPr>
        <w:pStyle w:val="ListParagraph"/>
        <w:rPr>
          <w:b w:val="0"/>
          <w:sz w:val="24"/>
          <w:szCs w:val="24"/>
        </w:rPr>
      </w:pPr>
      <w:r w:rsidRPr="009B1C0C">
        <w:rPr>
          <w:b w:val="0"/>
          <w:sz w:val="24"/>
          <w:szCs w:val="24"/>
        </w:rPr>
        <w:t xml:space="preserve">Unpublished works that are currently undergoing the peer-review process.  </w:t>
      </w:r>
    </w:p>
    <w:p w:rsidR="007D1F13" w:rsidRPr="009B1C0C" w:rsidRDefault="007D1F13" w:rsidP="00934D09">
      <w:pPr>
        <w:pStyle w:val="ListParagraph"/>
        <w:rPr>
          <w:b w:val="0"/>
          <w:sz w:val="24"/>
          <w:szCs w:val="24"/>
        </w:rPr>
      </w:pPr>
      <w:r w:rsidRPr="009B1C0C">
        <w:rPr>
          <w:b w:val="0"/>
          <w:sz w:val="24"/>
          <w:szCs w:val="24"/>
        </w:rPr>
        <w:t>Peer-reviewed grants that are in and of themselves scholarly work.</w:t>
      </w:r>
    </w:p>
    <w:p w:rsidR="007D1F13" w:rsidRPr="009B1C0C" w:rsidRDefault="007D1F13" w:rsidP="00934D09">
      <w:pPr>
        <w:pStyle w:val="ListParagraph"/>
        <w:rPr>
          <w:b w:val="0"/>
          <w:sz w:val="24"/>
          <w:szCs w:val="24"/>
        </w:rPr>
      </w:pPr>
      <w:r w:rsidRPr="009B1C0C">
        <w:rPr>
          <w:b w:val="0"/>
          <w:sz w:val="24"/>
          <w:szCs w:val="24"/>
        </w:rPr>
        <w:t>Service as editor or assistant editor of a scholarly journal</w:t>
      </w:r>
      <w:r w:rsidR="00FB0480" w:rsidRPr="009B1C0C">
        <w:rPr>
          <w:b w:val="0"/>
          <w:sz w:val="24"/>
          <w:szCs w:val="24"/>
        </w:rPr>
        <w:t xml:space="preserve"> that involves the production of </w:t>
      </w:r>
      <w:r w:rsidR="00D97A64" w:rsidRPr="009B1C0C">
        <w:rPr>
          <w:b w:val="0"/>
          <w:sz w:val="24"/>
          <w:szCs w:val="24"/>
        </w:rPr>
        <w:t>scholarly</w:t>
      </w:r>
      <w:r w:rsidR="00FB0480" w:rsidRPr="009B1C0C">
        <w:rPr>
          <w:b w:val="0"/>
          <w:sz w:val="24"/>
          <w:szCs w:val="24"/>
        </w:rPr>
        <w:t xml:space="preserve"> work</w:t>
      </w:r>
      <w:r w:rsidRPr="009B1C0C">
        <w:rPr>
          <w:b w:val="0"/>
          <w:sz w:val="24"/>
          <w:szCs w:val="24"/>
        </w:rPr>
        <w:t>.</w:t>
      </w:r>
    </w:p>
    <w:p w:rsidR="007D1F13" w:rsidRPr="009B1C0C" w:rsidRDefault="007D1F13" w:rsidP="00934D09">
      <w:pPr>
        <w:pStyle w:val="ListParagraph"/>
        <w:rPr>
          <w:b w:val="0"/>
          <w:sz w:val="24"/>
          <w:szCs w:val="24"/>
        </w:rPr>
      </w:pPr>
      <w:r w:rsidRPr="009B1C0C">
        <w:rPr>
          <w:b w:val="0"/>
          <w:sz w:val="24"/>
          <w:szCs w:val="24"/>
        </w:rPr>
        <w:t>Delivery of scholarly papers or posters at academic meetings.</w:t>
      </w:r>
    </w:p>
    <w:p w:rsidR="007D1F13" w:rsidRPr="009B1C0C" w:rsidRDefault="007D1F13" w:rsidP="00934D09">
      <w:pPr>
        <w:pStyle w:val="ListParagraph"/>
        <w:rPr>
          <w:b w:val="0"/>
          <w:sz w:val="24"/>
          <w:szCs w:val="24"/>
        </w:rPr>
      </w:pPr>
      <w:r w:rsidRPr="009B1C0C">
        <w:rPr>
          <w:b w:val="0"/>
          <w:sz w:val="24"/>
          <w:szCs w:val="24"/>
        </w:rPr>
        <w:t>Publication of book reviews.</w:t>
      </w:r>
    </w:p>
    <w:p w:rsidR="007D1F13" w:rsidRPr="009B1C0C" w:rsidRDefault="007D1F13" w:rsidP="00934D09">
      <w:pPr>
        <w:pStyle w:val="ListParagraph"/>
        <w:autoSpaceDE/>
        <w:autoSpaceDN/>
        <w:adjustRightInd/>
        <w:spacing w:after="200" w:line="276" w:lineRule="auto"/>
        <w:rPr>
          <w:b w:val="0"/>
          <w:sz w:val="24"/>
          <w:szCs w:val="24"/>
        </w:rPr>
      </w:pPr>
      <w:r w:rsidRPr="009B1C0C">
        <w:rPr>
          <w:b w:val="0"/>
          <w:sz w:val="24"/>
          <w:szCs w:val="24"/>
        </w:rPr>
        <w:lastRenderedPageBreak/>
        <w:t xml:space="preserve">Non-peer reviewed </w:t>
      </w:r>
      <w:r w:rsidR="000E062A" w:rsidRPr="00104C2C">
        <w:rPr>
          <w:b w:val="0"/>
          <w:sz w:val="24"/>
          <w:szCs w:val="24"/>
        </w:rPr>
        <w:t>scholarly products</w:t>
      </w:r>
      <w:r w:rsidRPr="009B1C0C">
        <w:rPr>
          <w:b w:val="0"/>
          <w:sz w:val="24"/>
          <w:szCs w:val="24"/>
        </w:rPr>
        <w:t xml:space="preserve"> such as unpublished manuscripts, self-published works, research reports, and publications for general audiences.</w:t>
      </w:r>
    </w:p>
    <w:p w:rsidR="00875844" w:rsidRPr="009B1C0C" w:rsidRDefault="00064E7B" w:rsidP="00934D09">
      <w:pPr>
        <w:pStyle w:val="ListParagraph"/>
        <w:autoSpaceDE/>
        <w:autoSpaceDN/>
        <w:adjustRightInd/>
        <w:spacing w:after="200" w:line="276" w:lineRule="auto"/>
        <w:rPr>
          <w:b w:val="0"/>
          <w:sz w:val="24"/>
          <w:szCs w:val="24"/>
        </w:rPr>
      </w:pPr>
      <w:r w:rsidRPr="009B1C0C">
        <w:rPr>
          <w:b w:val="0"/>
          <w:sz w:val="24"/>
          <w:szCs w:val="24"/>
        </w:rPr>
        <w:t>Community-based r</w:t>
      </w:r>
      <w:r w:rsidR="00875844" w:rsidRPr="009B1C0C">
        <w:rPr>
          <w:b w:val="0"/>
          <w:sz w:val="24"/>
          <w:szCs w:val="24"/>
        </w:rPr>
        <w:t>esearch reports or presentations</w:t>
      </w:r>
      <w:r w:rsidRPr="009B1C0C">
        <w:rPr>
          <w:b w:val="0"/>
          <w:sz w:val="24"/>
          <w:szCs w:val="24"/>
        </w:rPr>
        <w:t>.</w:t>
      </w:r>
    </w:p>
    <w:p w:rsidR="00321290" w:rsidRPr="009B1C0C" w:rsidRDefault="00321290" w:rsidP="00934D09">
      <w:pPr>
        <w:pStyle w:val="ListParagraph"/>
        <w:numPr>
          <w:ilvl w:val="0"/>
          <w:numId w:val="0"/>
        </w:numPr>
        <w:autoSpaceDE/>
        <w:autoSpaceDN/>
        <w:adjustRightInd/>
        <w:spacing w:after="200" w:line="276" w:lineRule="auto"/>
        <w:ind w:left="720"/>
        <w:rPr>
          <w:b w:val="0"/>
          <w:sz w:val="24"/>
          <w:szCs w:val="24"/>
        </w:rPr>
      </w:pPr>
    </w:p>
    <w:p w:rsidR="00321290" w:rsidRPr="009B1C0C" w:rsidRDefault="00321290" w:rsidP="00934D09">
      <w:pPr>
        <w:pStyle w:val="ListParagraph"/>
        <w:numPr>
          <w:ilvl w:val="0"/>
          <w:numId w:val="15"/>
        </w:numPr>
        <w:rPr>
          <w:sz w:val="24"/>
          <w:szCs w:val="24"/>
          <w:u w:val="single"/>
        </w:rPr>
      </w:pPr>
      <w:r w:rsidRPr="009B1C0C">
        <w:rPr>
          <w:sz w:val="24"/>
          <w:szCs w:val="24"/>
          <w:u w:val="single"/>
        </w:rPr>
        <w:t>PROFESSIONAL SERVICE</w:t>
      </w:r>
    </w:p>
    <w:p w:rsidR="007D1F13" w:rsidRPr="00222DC3" w:rsidRDefault="007D1F13" w:rsidP="00934D09">
      <w:pPr>
        <w:rPr>
          <w:b/>
          <w:bCs/>
          <w:sz w:val="10"/>
          <w:szCs w:val="10"/>
        </w:rPr>
      </w:pPr>
    </w:p>
    <w:p w:rsidR="007D1F13" w:rsidRPr="009B1C0C" w:rsidRDefault="007D1F13" w:rsidP="00934D09">
      <w:r w:rsidRPr="009B1C0C">
        <w:t>The candidate is expected to provide professionally-related service.  All levels of service</w:t>
      </w:r>
      <w:r w:rsidR="00D97A64" w:rsidRPr="009B1C0C">
        <w:t>,</w:t>
      </w:r>
      <w:r w:rsidRPr="009B1C0C">
        <w:t xml:space="preserve"> whether at the institutional, community, </w:t>
      </w:r>
      <w:r w:rsidR="00D97A64" w:rsidRPr="009B1C0C">
        <w:t>or</w:t>
      </w:r>
      <w:r w:rsidRPr="009B1C0C">
        <w:t xml:space="preserve"> professional levels</w:t>
      </w:r>
      <w:r w:rsidR="00D97A64" w:rsidRPr="009B1C0C">
        <w:t>,</w:t>
      </w:r>
      <w:r w:rsidRPr="009B1C0C">
        <w:t xml:space="preserve"> will be given consideration based on their merits by the committee. </w:t>
      </w:r>
      <w:r w:rsidR="00AF23A4" w:rsidRPr="009B1C0C">
        <w:t xml:space="preserve"> </w:t>
      </w:r>
      <w:r w:rsidRPr="009B1C0C">
        <w:t>Service to the institution is expected of al</w:t>
      </w:r>
      <w:r w:rsidR="00D97A64" w:rsidRPr="009B1C0C">
        <w:t>l faculty.  It is the candidate</w:t>
      </w:r>
      <w:r w:rsidR="0055618F">
        <w:t>’</w:t>
      </w:r>
      <w:r w:rsidRPr="009B1C0C">
        <w:t>s responsibility to document the quality, quantity, and significance of these activities, and any leadership roles that they may have fulfilled.</w:t>
      </w:r>
    </w:p>
    <w:p w:rsidR="007D1F13" w:rsidRPr="009B1C0C" w:rsidRDefault="007D1F13" w:rsidP="00934D09"/>
    <w:p w:rsidR="007D1F13" w:rsidRPr="009B1C0C" w:rsidRDefault="007D1F13" w:rsidP="00934D09">
      <w:r w:rsidRPr="009B1C0C">
        <w:t>Institutional service is provided at the university, college,</w:t>
      </w:r>
      <w:r w:rsidRPr="009B1C0C">
        <w:rPr>
          <w:b/>
        </w:rPr>
        <w:t xml:space="preserve"> </w:t>
      </w:r>
      <w:r w:rsidRPr="009B1C0C">
        <w:t xml:space="preserve">and departmental levels, the bulk of which typically is reflected by committee-based work.  Leadership on such committees is not strictly defined as serving as chair, but as providing </w:t>
      </w:r>
      <w:r w:rsidRPr="009B1C0C">
        <w:tab/>
        <w:t xml:space="preserve">significant contributions in achieving service goals.  Leadership will be weighted more heavily than committee membership, as will committee assignments which are more demanding. </w:t>
      </w:r>
      <w:r w:rsidR="00E87FBD" w:rsidRPr="009B1C0C">
        <w:t xml:space="preserve"> </w:t>
      </w:r>
      <w:r w:rsidRPr="009B1C0C">
        <w:t xml:space="preserve">Administrative roles such as program coordinator or student club advisor also constitute university/institutional service activities. </w:t>
      </w:r>
    </w:p>
    <w:p w:rsidR="007D1F13" w:rsidRPr="009B1C0C" w:rsidRDefault="007D1F13" w:rsidP="00934D09"/>
    <w:p w:rsidR="007D1F13" w:rsidRPr="009B1C0C" w:rsidRDefault="007D1F13" w:rsidP="00934D09">
      <w:r w:rsidRPr="009B1C0C">
        <w:t xml:space="preserve">Service to the community must be professional in nature and utilize </w:t>
      </w:r>
      <w:r w:rsidR="00D97A64" w:rsidRPr="009B1C0C">
        <w:t>the candidate’</w:t>
      </w:r>
      <w:r w:rsidRPr="009B1C0C">
        <w:t xml:space="preserve">s area(s) of academic expertise. </w:t>
      </w:r>
      <w:r w:rsidR="00E87FBD" w:rsidRPr="009B1C0C">
        <w:t xml:space="preserve"> </w:t>
      </w:r>
      <w:r w:rsidRPr="009B1C0C">
        <w:t>Community service may include activities such as speech</w:t>
      </w:r>
      <w:r w:rsidR="00D97A64" w:rsidRPr="009B1C0C">
        <w:t>-</w:t>
      </w:r>
      <w:r w:rsidRPr="009B1C0C">
        <w:t>maki</w:t>
      </w:r>
      <w:r w:rsidR="00D97A64" w:rsidRPr="009B1C0C">
        <w:t>ng in the area of the candidate’</w:t>
      </w:r>
      <w:r w:rsidRPr="009B1C0C">
        <w:t xml:space="preserve">s expertise, membership on boards, consulting, publishing in the popular press, </w:t>
      </w:r>
      <w:r w:rsidR="00104C2C" w:rsidRPr="00104C2C">
        <w:t>advising</w:t>
      </w:r>
      <w:r w:rsidRPr="009B1C0C">
        <w:t xml:space="preserve"> to </w:t>
      </w:r>
      <w:proofErr w:type="spellStart"/>
      <w:r w:rsidRPr="009B1C0C">
        <w:t>avocational</w:t>
      </w:r>
      <w:proofErr w:type="spellEnd"/>
      <w:r w:rsidRPr="009B1C0C">
        <w:t xml:space="preserve"> gr</w:t>
      </w:r>
      <w:r w:rsidR="00D97A64" w:rsidRPr="009B1C0C">
        <w:t>oups, and participating</w:t>
      </w:r>
      <w:r w:rsidRPr="009B1C0C">
        <w:t xml:space="preserve"> in seminars or workshops.</w:t>
      </w:r>
    </w:p>
    <w:p w:rsidR="007D1F13" w:rsidRPr="009B1C0C" w:rsidRDefault="007D1F13" w:rsidP="00934D09"/>
    <w:p w:rsidR="007D1F13" w:rsidRPr="009B1C0C" w:rsidRDefault="007D1F13" w:rsidP="00934D09">
      <w:r w:rsidRPr="009B1C0C">
        <w:t>Service to the profession includes activities such as acting as a reviewer of scholarly publications, chairing sessions or acting as a discussant at scholarly meetings, serving as an officer of a professional organization, and any other activities that contribute to one’s profession in a meaningful way.</w:t>
      </w:r>
    </w:p>
    <w:p w:rsidR="007D1F13" w:rsidRPr="009B1C0C" w:rsidRDefault="007D1F13" w:rsidP="00934D09"/>
    <w:p w:rsidR="00321290" w:rsidRPr="009B1C0C" w:rsidRDefault="00321290" w:rsidP="00934D09">
      <w:pPr>
        <w:pStyle w:val="ListParagraph"/>
        <w:numPr>
          <w:ilvl w:val="0"/>
          <w:numId w:val="15"/>
        </w:numPr>
        <w:rPr>
          <w:sz w:val="24"/>
          <w:szCs w:val="24"/>
          <w:u w:val="single"/>
        </w:rPr>
      </w:pPr>
      <w:r w:rsidRPr="009B1C0C">
        <w:rPr>
          <w:sz w:val="24"/>
          <w:szCs w:val="24"/>
          <w:u w:val="single"/>
        </w:rPr>
        <w:t>ADHERENCE TO PROFESSIONAL ETHICS</w:t>
      </w:r>
    </w:p>
    <w:p w:rsidR="007D1F13" w:rsidRPr="00222DC3" w:rsidRDefault="007D1F1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7D1F13" w:rsidRDefault="007D1F1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The College of Social and Behavioral Scie</w:t>
      </w:r>
      <w:r w:rsidR="00F070DF" w:rsidRPr="009B1C0C">
        <w:t>nces endorses the statement of “</w:t>
      </w:r>
      <w:r w:rsidRPr="009B1C0C">
        <w:t>Professional Responsibilities, Ethical Principles, and Standards of Behavior</w:t>
      </w:r>
      <w:r w:rsidR="00F070DF" w:rsidRPr="009B1C0C">
        <w:t>”</w:t>
      </w:r>
      <w:r w:rsidRPr="009B1C0C">
        <w:t xml:space="preserve"> contained in </w:t>
      </w:r>
      <w:r w:rsidR="00F070DF" w:rsidRPr="009B1C0C">
        <w:t>PPM</w:t>
      </w:r>
      <w:r w:rsidRPr="009B1C0C">
        <w:t xml:space="preserve"> 9-3 through 9-8. </w:t>
      </w:r>
      <w:r w:rsidR="00F070DF" w:rsidRPr="009B1C0C">
        <w:t xml:space="preserve"> </w:t>
      </w:r>
      <w:r w:rsidRPr="009B1C0C">
        <w:t xml:space="preserve">Candidates for tenure shall be evaluated against those ethical canons and standards of behavior. </w:t>
      </w:r>
      <w:r w:rsidR="00F070DF" w:rsidRPr="009B1C0C">
        <w:t xml:space="preserve"> </w:t>
      </w:r>
      <w:r w:rsidRPr="009B1C0C">
        <w:t>A general i</w:t>
      </w:r>
      <w:r w:rsidR="0055618F">
        <w:t>ndication of the faculty member’</w:t>
      </w:r>
      <w:r w:rsidRPr="009B1C0C">
        <w:t>s adherence to those ethical principles and standards of behavior shall be noted on the Tenure Evaluation Report, with</w:t>
      </w:r>
      <w:r w:rsidR="00F070DF" w:rsidRPr="009B1C0C">
        <w:t xml:space="preserve"> a “yes”</w:t>
      </w:r>
      <w:r w:rsidRPr="009B1C0C">
        <w:t xml:space="preserve"> or </w:t>
      </w:r>
      <w:r w:rsidR="00F070DF" w:rsidRPr="009B1C0C">
        <w:t>“</w:t>
      </w:r>
      <w:r w:rsidRPr="009B1C0C">
        <w:t>no</w:t>
      </w:r>
      <w:r w:rsidR="00F070DF" w:rsidRPr="009B1C0C">
        <w:t>”</w:t>
      </w:r>
      <w:r w:rsidRPr="009B1C0C">
        <w:t xml:space="preserve"> response. </w:t>
      </w:r>
      <w:r w:rsidR="00F16493" w:rsidRPr="009B1C0C">
        <w:t xml:space="preserve"> </w:t>
      </w:r>
      <w:r w:rsidRPr="009B1C0C">
        <w:t>Letters indicating the findings of the evaluative committees, chairs, and dean shall, if necessary, indicate strengths and weaknesses</w:t>
      </w:r>
      <w:r w:rsidR="00F16493" w:rsidRPr="009B1C0C">
        <w:t xml:space="preserve"> in this regard.</w:t>
      </w:r>
    </w:p>
    <w:p w:rsidR="00222DC3" w:rsidRPr="009B1C0C" w:rsidRDefault="00222DC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p>
    <w:p w:rsidR="00321290" w:rsidRPr="009B1C0C" w:rsidRDefault="00321290" w:rsidP="00934D09">
      <w:pPr>
        <w:pStyle w:val="ListParagraph"/>
        <w:numPr>
          <w:ilvl w:val="0"/>
          <w:numId w:val="15"/>
        </w:numPr>
        <w:rPr>
          <w:sz w:val="24"/>
          <w:szCs w:val="24"/>
          <w:u w:val="single"/>
        </w:rPr>
      </w:pPr>
      <w:r w:rsidRPr="009B1C0C">
        <w:rPr>
          <w:sz w:val="24"/>
          <w:szCs w:val="24"/>
          <w:u w:val="single"/>
        </w:rPr>
        <w:t>DEGREE REQUIREMENTS</w:t>
      </w:r>
    </w:p>
    <w:p w:rsidR="002E1FB1" w:rsidRPr="00222DC3" w:rsidRDefault="002E1FB1"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7D1F13" w:rsidRPr="009B1C0C" w:rsidRDefault="007D1F13"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t>Minimum degree requirements are outlined in PPM 8-6 and 8-11</w:t>
      </w:r>
      <w:r w:rsidR="00D97A64" w:rsidRPr="009B1C0C">
        <w:t>.</w:t>
      </w:r>
    </w:p>
    <w:p w:rsidR="008254E4" w:rsidRDefault="008254E4"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sectPr w:rsidR="008254E4" w:rsidSect="008254E4">
          <w:footerReference w:type="default" r:id="rId10"/>
          <w:pgSz w:w="12240" w:h="15840"/>
          <w:pgMar w:top="1296" w:right="1440" w:bottom="1440" w:left="1440" w:header="720" w:footer="720" w:gutter="0"/>
          <w:cols w:space="720"/>
          <w:docGrid w:linePitch="360"/>
        </w:sectPr>
      </w:pPr>
    </w:p>
    <w:p w:rsidR="00321290" w:rsidRPr="009B1C0C" w:rsidRDefault="00321290" w:rsidP="00934D09">
      <w:pPr>
        <w:pStyle w:val="ListParagraph"/>
        <w:numPr>
          <w:ilvl w:val="0"/>
          <w:numId w:val="15"/>
        </w:numPr>
        <w:rPr>
          <w:sz w:val="24"/>
          <w:szCs w:val="24"/>
          <w:u w:val="single"/>
        </w:rPr>
      </w:pPr>
      <w:r w:rsidRPr="009B1C0C">
        <w:rPr>
          <w:sz w:val="24"/>
          <w:szCs w:val="24"/>
          <w:u w:val="single"/>
        </w:rPr>
        <w:lastRenderedPageBreak/>
        <w:t>RATINGS</w:t>
      </w:r>
    </w:p>
    <w:p w:rsidR="00F16493" w:rsidRPr="00222DC3" w:rsidRDefault="00F16493" w:rsidP="00934D09">
      <w:pPr>
        <w:rPr>
          <w:sz w:val="10"/>
          <w:szCs w:val="10"/>
        </w:rPr>
      </w:pP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8"/>
        <w:gridCol w:w="1446"/>
        <w:gridCol w:w="6468"/>
      </w:tblGrid>
      <w:tr w:rsidR="00025B48" w:rsidRPr="009B1C0C" w:rsidTr="004E767F">
        <w:tc>
          <w:tcPr>
            <w:tcW w:w="1758" w:type="dxa"/>
          </w:tcPr>
          <w:p w:rsidR="00025B48" w:rsidRPr="009B1C0C" w:rsidRDefault="00286566" w:rsidP="00934D09">
            <w:pPr>
              <w:rPr>
                <w:sz w:val="24"/>
                <w:szCs w:val="24"/>
              </w:rPr>
            </w:pPr>
            <w:r w:rsidRPr="009B1C0C">
              <w:rPr>
                <w:b/>
                <w:sz w:val="24"/>
                <w:szCs w:val="24"/>
              </w:rPr>
              <w:t>Excellent</w:t>
            </w:r>
          </w:p>
        </w:tc>
        <w:tc>
          <w:tcPr>
            <w:tcW w:w="1446" w:type="dxa"/>
          </w:tcPr>
          <w:p w:rsidR="00025B48" w:rsidRPr="009B1C0C" w:rsidRDefault="00286566" w:rsidP="00934D09">
            <w:pPr>
              <w:rPr>
                <w:sz w:val="24"/>
                <w:szCs w:val="24"/>
              </w:rPr>
            </w:pPr>
            <w:r w:rsidRPr="009B1C0C">
              <w:rPr>
                <w:sz w:val="24"/>
                <w:szCs w:val="24"/>
              </w:rPr>
              <w:t>Teaching</w:t>
            </w:r>
          </w:p>
        </w:tc>
        <w:tc>
          <w:tcPr>
            <w:tcW w:w="6468" w:type="dxa"/>
          </w:tcPr>
          <w:p w:rsidR="00025B48" w:rsidRPr="009B1C0C" w:rsidRDefault="00286566" w:rsidP="004603DB">
            <w:pPr>
              <w:rPr>
                <w:sz w:val="24"/>
                <w:szCs w:val="24"/>
              </w:rPr>
            </w:pPr>
            <w:r w:rsidRPr="009B1C0C">
              <w:rPr>
                <w:rFonts w:eastAsia="Times New Roman"/>
                <w:sz w:val="24"/>
                <w:szCs w:val="24"/>
              </w:rPr>
              <w:t xml:space="preserve">The candidate will normally be rated excellent when evaluations by students and peers indicate that he/she has </w:t>
            </w:r>
            <w:r w:rsidR="004603DB">
              <w:rPr>
                <w:rFonts w:eastAsia="Times New Roman"/>
                <w:sz w:val="24"/>
                <w:szCs w:val="24"/>
              </w:rPr>
              <w:t xml:space="preserve">consistently </w:t>
            </w:r>
            <w:r w:rsidRPr="009B1C0C">
              <w:rPr>
                <w:rFonts w:eastAsia="Times New Roman"/>
                <w:sz w:val="24"/>
                <w:szCs w:val="24"/>
              </w:rPr>
              <w:t>been an outstanding teacher, and there is evidence that the candidate has made substantial and beneficial innovations to course material and teaching methods.</w:t>
            </w:r>
          </w:p>
        </w:tc>
      </w:tr>
      <w:tr w:rsidR="00025B48" w:rsidRPr="009B1C0C" w:rsidTr="004E767F">
        <w:tc>
          <w:tcPr>
            <w:tcW w:w="1758" w:type="dxa"/>
          </w:tcPr>
          <w:p w:rsidR="00025B48" w:rsidRPr="009B1C0C" w:rsidRDefault="00025B48" w:rsidP="00934D09">
            <w:pPr>
              <w:ind w:left="360"/>
              <w:rPr>
                <w:sz w:val="24"/>
                <w:szCs w:val="24"/>
              </w:rPr>
            </w:pPr>
          </w:p>
        </w:tc>
        <w:tc>
          <w:tcPr>
            <w:tcW w:w="1446" w:type="dxa"/>
          </w:tcPr>
          <w:p w:rsidR="00025B48" w:rsidRPr="009B1C0C" w:rsidRDefault="00286566" w:rsidP="00934D09">
            <w:pPr>
              <w:rPr>
                <w:sz w:val="24"/>
                <w:szCs w:val="24"/>
              </w:rPr>
            </w:pPr>
            <w:r w:rsidRPr="009B1C0C">
              <w:rPr>
                <w:sz w:val="24"/>
                <w:szCs w:val="24"/>
              </w:rPr>
              <w:t>Scholarship</w:t>
            </w:r>
          </w:p>
        </w:tc>
        <w:tc>
          <w:tcPr>
            <w:tcW w:w="6468" w:type="dxa"/>
          </w:tcPr>
          <w:p w:rsidR="00025B48" w:rsidRPr="009B1C0C" w:rsidRDefault="00286566" w:rsidP="00934D09">
            <w:pPr>
              <w:rPr>
                <w:sz w:val="24"/>
                <w:szCs w:val="24"/>
              </w:rPr>
            </w:pPr>
            <w:r w:rsidRPr="009B1C0C">
              <w:rPr>
                <w:rFonts w:eastAsia="Times New Roman"/>
                <w:sz w:val="24"/>
                <w:szCs w:val="24"/>
              </w:rPr>
              <w:t xml:space="preserve">The candidate will normally be rated excellent with the publication of one peer-reviewed book or three peer-reviewed articles/chapters, and evidence of additional, ongoing scholarly activity.  </w:t>
            </w:r>
            <w:r w:rsidR="00104C2C" w:rsidRPr="00104C2C">
              <w:rPr>
                <w:rFonts w:eastAsia="Times New Roman"/>
                <w:sz w:val="24"/>
                <w:szCs w:val="24"/>
              </w:rPr>
              <w:t>Notably</w:t>
            </w:r>
            <w:r w:rsidR="00077414" w:rsidRPr="00104C2C">
              <w:rPr>
                <w:rFonts w:eastAsia="Times New Roman"/>
                <w:sz w:val="24"/>
                <w:szCs w:val="24"/>
              </w:rPr>
              <w:t xml:space="preserve"> significant</w:t>
            </w:r>
            <w:r w:rsidR="00077414" w:rsidRPr="009B1C0C">
              <w:rPr>
                <w:rFonts w:eastAsia="Times New Roman"/>
                <w:sz w:val="24"/>
                <w:szCs w:val="24"/>
              </w:rPr>
              <w:t xml:space="preserve"> </w:t>
            </w:r>
            <w:r w:rsidRPr="009B1C0C">
              <w:rPr>
                <w:rFonts w:eastAsia="Times New Roman"/>
                <w:sz w:val="24"/>
                <w:szCs w:val="24"/>
              </w:rPr>
              <w:t>or impactful scholarship may substitute for one peer-reviewed article.</w:t>
            </w:r>
          </w:p>
        </w:tc>
      </w:tr>
      <w:tr w:rsidR="00025B48" w:rsidRPr="009B1C0C" w:rsidTr="004E767F">
        <w:tc>
          <w:tcPr>
            <w:tcW w:w="1758" w:type="dxa"/>
          </w:tcPr>
          <w:p w:rsidR="00025B48" w:rsidRPr="009B1C0C" w:rsidRDefault="00025B48" w:rsidP="00934D09">
            <w:pPr>
              <w:ind w:left="360"/>
              <w:rPr>
                <w:sz w:val="24"/>
                <w:szCs w:val="24"/>
              </w:rPr>
            </w:pPr>
          </w:p>
        </w:tc>
        <w:tc>
          <w:tcPr>
            <w:tcW w:w="1446" w:type="dxa"/>
          </w:tcPr>
          <w:p w:rsidR="00025B48" w:rsidRPr="009B1C0C" w:rsidRDefault="00286566" w:rsidP="00934D09">
            <w:pPr>
              <w:rPr>
                <w:sz w:val="24"/>
                <w:szCs w:val="24"/>
              </w:rPr>
            </w:pPr>
            <w:r w:rsidRPr="009B1C0C">
              <w:rPr>
                <w:sz w:val="24"/>
                <w:szCs w:val="24"/>
              </w:rPr>
              <w:t>Service</w:t>
            </w:r>
          </w:p>
        </w:tc>
        <w:tc>
          <w:tcPr>
            <w:tcW w:w="6468" w:type="dxa"/>
          </w:tcPr>
          <w:p w:rsidR="00025B48" w:rsidRPr="009B1C0C" w:rsidRDefault="00286566" w:rsidP="00934D09">
            <w:pPr>
              <w:rPr>
                <w:sz w:val="24"/>
                <w:szCs w:val="24"/>
              </w:rPr>
            </w:pPr>
            <w:r w:rsidRPr="009B1C0C">
              <w:rPr>
                <w:rFonts w:eastAsia="Times New Roman"/>
                <w:sz w:val="24"/>
                <w:szCs w:val="24"/>
              </w:rPr>
              <w:t>The candidate will normally be rated excellent when he/she performs a variety of demanding service activities, provides leadership, and exhibits significant impact in his or her areas of service.</w:t>
            </w:r>
          </w:p>
        </w:tc>
      </w:tr>
      <w:tr w:rsidR="00025B48" w:rsidRPr="009B1C0C" w:rsidTr="004E767F">
        <w:tc>
          <w:tcPr>
            <w:tcW w:w="1758" w:type="dxa"/>
          </w:tcPr>
          <w:p w:rsidR="00025B48" w:rsidRPr="009B1C0C" w:rsidRDefault="00286566" w:rsidP="00934D09">
            <w:pPr>
              <w:rPr>
                <w:b/>
                <w:sz w:val="24"/>
                <w:szCs w:val="24"/>
              </w:rPr>
            </w:pPr>
            <w:r w:rsidRPr="009B1C0C">
              <w:rPr>
                <w:b/>
                <w:sz w:val="24"/>
                <w:szCs w:val="24"/>
              </w:rPr>
              <w:t>Good</w:t>
            </w:r>
          </w:p>
        </w:tc>
        <w:tc>
          <w:tcPr>
            <w:tcW w:w="1446" w:type="dxa"/>
          </w:tcPr>
          <w:p w:rsidR="00025B48" w:rsidRPr="009B1C0C" w:rsidRDefault="00286566" w:rsidP="00934D09">
            <w:pPr>
              <w:rPr>
                <w:sz w:val="24"/>
                <w:szCs w:val="24"/>
              </w:rPr>
            </w:pPr>
            <w:r w:rsidRPr="009B1C0C">
              <w:rPr>
                <w:sz w:val="24"/>
                <w:szCs w:val="24"/>
              </w:rPr>
              <w:t>Teaching</w:t>
            </w:r>
          </w:p>
        </w:tc>
        <w:tc>
          <w:tcPr>
            <w:tcW w:w="6468" w:type="dxa"/>
          </w:tcPr>
          <w:p w:rsidR="005D3269" w:rsidRPr="009B1C0C" w:rsidRDefault="00286566" w:rsidP="0082279E">
            <w:pPr>
              <w:rPr>
                <w:sz w:val="24"/>
                <w:szCs w:val="24"/>
              </w:rPr>
            </w:pPr>
            <w:r w:rsidRPr="009B1C0C">
              <w:rPr>
                <w:rFonts w:eastAsia="Times New Roman"/>
                <w:sz w:val="24"/>
                <w:szCs w:val="24"/>
              </w:rPr>
              <w:t xml:space="preserve">The candidate will normally be rated good when evaluations by students and peers indicate that he/she has </w:t>
            </w:r>
            <w:r w:rsidR="0082279E">
              <w:rPr>
                <w:rFonts w:eastAsia="Times New Roman"/>
                <w:sz w:val="24"/>
                <w:szCs w:val="24"/>
              </w:rPr>
              <w:t xml:space="preserve">consistently </w:t>
            </w:r>
            <w:r w:rsidRPr="009B1C0C">
              <w:rPr>
                <w:rFonts w:eastAsia="Times New Roman"/>
                <w:sz w:val="24"/>
                <w:szCs w:val="24"/>
              </w:rPr>
              <w:t>been teaching above the level of competence, there is evidence that the candidate has made some worthwhile innovations to course material and teaching methods, and that he/she has addressed and reduced any substantial deficiencies in teaching performance noted in a previous review.</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Scholarship</w:t>
            </w:r>
          </w:p>
        </w:tc>
        <w:tc>
          <w:tcPr>
            <w:tcW w:w="6468" w:type="dxa"/>
          </w:tcPr>
          <w:p w:rsidR="00025B48" w:rsidRPr="009B1C0C" w:rsidRDefault="00286566" w:rsidP="00934D09">
            <w:pPr>
              <w:rPr>
                <w:sz w:val="24"/>
                <w:szCs w:val="24"/>
              </w:rPr>
            </w:pPr>
            <w:r w:rsidRPr="009B1C0C">
              <w:rPr>
                <w:rFonts w:eastAsia="Times New Roman"/>
                <w:sz w:val="24"/>
                <w:szCs w:val="24"/>
              </w:rPr>
              <w:t xml:space="preserve">The candidate will normally be rated good with the publication of two peer-reviewed articles/chapters, and evidence of ongoing scholarly activity.  </w:t>
            </w:r>
            <w:r w:rsidR="00104C2C" w:rsidRPr="00104C2C">
              <w:rPr>
                <w:rFonts w:eastAsia="Times New Roman"/>
                <w:sz w:val="24"/>
                <w:szCs w:val="24"/>
              </w:rPr>
              <w:t>Notably</w:t>
            </w:r>
            <w:r w:rsidR="00077414" w:rsidRPr="00104C2C">
              <w:rPr>
                <w:rFonts w:eastAsia="Times New Roman"/>
                <w:sz w:val="24"/>
                <w:szCs w:val="24"/>
              </w:rPr>
              <w:t xml:space="preserve"> s</w:t>
            </w:r>
            <w:r w:rsidR="00077414" w:rsidRPr="009B1C0C">
              <w:rPr>
                <w:rFonts w:eastAsia="Times New Roman"/>
                <w:sz w:val="24"/>
                <w:szCs w:val="24"/>
              </w:rPr>
              <w:t xml:space="preserve">ignificant </w:t>
            </w:r>
            <w:r w:rsidRPr="009B1C0C">
              <w:rPr>
                <w:rFonts w:eastAsia="Times New Roman"/>
                <w:sz w:val="24"/>
                <w:szCs w:val="24"/>
              </w:rPr>
              <w:t>or impactful scholarship may substitute for one peer-reviewed article.</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Service</w:t>
            </w:r>
          </w:p>
        </w:tc>
        <w:tc>
          <w:tcPr>
            <w:tcW w:w="6468" w:type="dxa"/>
          </w:tcPr>
          <w:p w:rsidR="00025B48" w:rsidRPr="009B1C0C" w:rsidRDefault="00286566" w:rsidP="00934D09">
            <w:pPr>
              <w:rPr>
                <w:sz w:val="24"/>
                <w:szCs w:val="24"/>
              </w:rPr>
            </w:pPr>
            <w:r w:rsidRPr="009B1C0C">
              <w:rPr>
                <w:rFonts w:eastAsia="Times New Roman"/>
                <w:sz w:val="24"/>
                <w:szCs w:val="24"/>
              </w:rPr>
              <w:t>The candidate will normally be rated good when he/she performs a variety of service activities, provides leadership, or exhibits significant impact in his or her areas of service.</w:t>
            </w:r>
          </w:p>
        </w:tc>
      </w:tr>
      <w:tr w:rsidR="00025B48" w:rsidRPr="009B1C0C" w:rsidTr="004E767F">
        <w:tc>
          <w:tcPr>
            <w:tcW w:w="1758" w:type="dxa"/>
          </w:tcPr>
          <w:p w:rsidR="00025B48" w:rsidRPr="009B1C0C" w:rsidRDefault="00286566" w:rsidP="00934D09">
            <w:pPr>
              <w:rPr>
                <w:b/>
                <w:sz w:val="24"/>
                <w:szCs w:val="24"/>
              </w:rPr>
            </w:pPr>
            <w:r w:rsidRPr="009B1C0C">
              <w:rPr>
                <w:b/>
                <w:sz w:val="24"/>
                <w:szCs w:val="24"/>
              </w:rPr>
              <w:t>Satisfactory</w:t>
            </w:r>
          </w:p>
        </w:tc>
        <w:tc>
          <w:tcPr>
            <w:tcW w:w="1446" w:type="dxa"/>
          </w:tcPr>
          <w:p w:rsidR="00025B48" w:rsidRPr="009B1C0C" w:rsidRDefault="00286566" w:rsidP="00934D09">
            <w:pPr>
              <w:rPr>
                <w:sz w:val="24"/>
                <w:szCs w:val="24"/>
              </w:rPr>
            </w:pPr>
            <w:r w:rsidRPr="009B1C0C">
              <w:rPr>
                <w:sz w:val="24"/>
                <w:szCs w:val="24"/>
              </w:rPr>
              <w:t>Teaching</w:t>
            </w:r>
          </w:p>
        </w:tc>
        <w:tc>
          <w:tcPr>
            <w:tcW w:w="6468" w:type="dxa"/>
          </w:tcPr>
          <w:p w:rsidR="00A71A80" w:rsidRPr="009B1C0C" w:rsidRDefault="00286566" w:rsidP="00F307A3">
            <w:pPr>
              <w:rPr>
                <w:sz w:val="24"/>
                <w:szCs w:val="24"/>
              </w:rPr>
            </w:pPr>
            <w:r w:rsidRPr="009B1C0C">
              <w:rPr>
                <w:rFonts w:eastAsia="Times New Roman"/>
                <w:sz w:val="24"/>
                <w:szCs w:val="24"/>
              </w:rPr>
              <w:t xml:space="preserve">The candidate will normally be rated satisfactory when evaluations by students and peers indicate that he/she has </w:t>
            </w:r>
            <w:r w:rsidR="00F307A3">
              <w:rPr>
                <w:rFonts w:eastAsia="Times New Roman"/>
                <w:sz w:val="24"/>
                <w:szCs w:val="24"/>
              </w:rPr>
              <w:t xml:space="preserve">consistently </w:t>
            </w:r>
            <w:r w:rsidRPr="009B1C0C">
              <w:rPr>
                <w:rFonts w:eastAsia="Times New Roman"/>
                <w:sz w:val="24"/>
                <w:szCs w:val="24"/>
              </w:rPr>
              <w:t xml:space="preserve">been teaching at a level of competence, there is evidence that the candidate has made few innovations to course material or teaching methods, and that he/she has </w:t>
            </w:r>
            <w:r w:rsidR="00077414" w:rsidRPr="00104C2C">
              <w:rPr>
                <w:rFonts w:eastAsia="Times New Roman"/>
                <w:sz w:val="24"/>
                <w:szCs w:val="24"/>
              </w:rPr>
              <w:t>taken action to address</w:t>
            </w:r>
            <w:r w:rsidR="00077414">
              <w:rPr>
                <w:rFonts w:eastAsia="Times New Roman"/>
                <w:sz w:val="24"/>
                <w:szCs w:val="24"/>
              </w:rPr>
              <w:t xml:space="preserve"> </w:t>
            </w:r>
            <w:r w:rsidRPr="009B1C0C">
              <w:rPr>
                <w:rFonts w:eastAsia="Times New Roman"/>
                <w:sz w:val="24"/>
                <w:szCs w:val="24"/>
              </w:rPr>
              <w:t>any substantial deficiencies in teaching performance noted in a previous review. </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Scholarship</w:t>
            </w:r>
          </w:p>
        </w:tc>
        <w:tc>
          <w:tcPr>
            <w:tcW w:w="6468" w:type="dxa"/>
          </w:tcPr>
          <w:p w:rsidR="00025B48" w:rsidRPr="009B1C0C" w:rsidRDefault="00286566" w:rsidP="00934D09">
            <w:pPr>
              <w:rPr>
                <w:rFonts w:eastAsia="Times New Roman"/>
                <w:sz w:val="24"/>
                <w:szCs w:val="24"/>
              </w:rPr>
            </w:pPr>
            <w:r w:rsidRPr="009B1C0C">
              <w:rPr>
                <w:rFonts w:eastAsia="Times New Roman"/>
                <w:sz w:val="24"/>
                <w:szCs w:val="24"/>
              </w:rPr>
              <w:t xml:space="preserve">The candidate will normally be rated satisfactory with the publication of one peer-reviewed article/chapter, and a record of ongoing scholarly activity.  </w:t>
            </w:r>
            <w:r w:rsidR="00104C2C" w:rsidRPr="00104C2C">
              <w:rPr>
                <w:rFonts w:eastAsia="Times New Roman"/>
                <w:sz w:val="24"/>
                <w:szCs w:val="24"/>
              </w:rPr>
              <w:t>Notably</w:t>
            </w:r>
            <w:r w:rsidR="00077414" w:rsidRPr="00104C2C">
              <w:rPr>
                <w:rFonts w:eastAsia="Times New Roman"/>
                <w:sz w:val="24"/>
                <w:szCs w:val="24"/>
              </w:rPr>
              <w:t xml:space="preserve"> s</w:t>
            </w:r>
            <w:r w:rsidRPr="00104C2C">
              <w:rPr>
                <w:rFonts w:eastAsia="Times New Roman"/>
                <w:sz w:val="24"/>
                <w:szCs w:val="24"/>
              </w:rPr>
              <w:t>ignificant</w:t>
            </w:r>
            <w:r w:rsidRPr="009B1C0C">
              <w:rPr>
                <w:rFonts w:eastAsia="Times New Roman"/>
                <w:sz w:val="24"/>
                <w:szCs w:val="24"/>
              </w:rPr>
              <w:t xml:space="preserve"> or impactful scholarship may substitute for one peer-reviewed article.</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Service</w:t>
            </w:r>
          </w:p>
        </w:tc>
        <w:tc>
          <w:tcPr>
            <w:tcW w:w="6468" w:type="dxa"/>
          </w:tcPr>
          <w:p w:rsidR="00025B48" w:rsidRPr="009B1C0C" w:rsidRDefault="00286566" w:rsidP="00A600AA">
            <w:pPr>
              <w:rPr>
                <w:sz w:val="24"/>
                <w:szCs w:val="24"/>
              </w:rPr>
            </w:pPr>
            <w:r w:rsidRPr="009B1C0C">
              <w:rPr>
                <w:sz w:val="24"/>
                <w:szCs w:val="24"/>
              </w:rPr>
              <w:t xml:space="preserve">The candidate will normally be rated satisfactory when he/she provides </w:t>
            </w:r>
            <w:r w:rsidR="00A600AA" w:rsidRPr="004603DB">
              <w:rPr>
                <w:sz w:val="24"/>
                <w:szCs w:val="24"/>
              </w:rPr>
              <w:t>minimal</w:t>
            </w:r>
            <w:r w:rsidR="00A600AA">
              <w:rPr>
                <w:sz w:val="24"/>
                <w:szCs w:val="24"/>
              </w:rPr>
              <w:t xml:space="preserve"> </w:t>
            </w:r>
            <w:r w:rsidRPr="009B1C0C">
              <w:rPr>
                <w:sz w:val="24"/>
                <w:szCs w:val="24"/>
              </w:rPr>
              <w:t>leadership and exhibits minimal impact in his or her areas of service.</w:t>
            </w:r>
          </w:p>
        </w:tc>
      </w:tr>
      <w:tr w:rsidR="00025B48" w:rsidRPr="009B1C0C" w:rsidTr="004E767F">
        <w:tc>
          <w:tcPr>
            <w:tcW w:w="1758" w:type="dxa"/>
          </w:tcPr>
          <w:p w:rsidR="00025B48" w:rsidRPr="009B1C0C" w:rsidRDefault="00286566" w:rsidP="00934D09">
            <w:pPr>
              <w:rPr>
                <w:b/>
                <w:sz w:val="24"/>
                <w:szCs w:val="24"/>
              </w:rPr>
            </w:pPr>
            <w:r w:rsidRPr="009B1C0C">
              <w:rPr>
                <w:b/>
                <w:sz w:val="24"/>
                <w:szCs w:val="24"/>
              </w:rPr>
              <w:t>Unsatisfactory</w:t>
            </w:r>
          </w:p>
        </w:tc>
        <w:tc>
          <w:tcPr>
            <w:tcW w:w="1446" w:type="dxa"/>
          </w:tcPr>
          <w:p w:rsidR="00025B48" w:rsidRPr="009B1C0C" w:rsidRDefault="00286566" w:rsidP="00934D09">
            <w:pPr>
              <w:rPr>
                <w:sz w:val="24"/>
                <w:szCs w:val="24"/>
              </w:rPr>
            </w:pPr>
            <w:r w:rsidRPr="009B1C0C">
              <w:rPr>
                <w:sz w:val="24"/>
                <w:szCs w:val="24"/>
              </w:rPr>
              <w:t>Teaching</w:t>
            </w:r>
          </w:p>
        </w:tc>
        <w:tc>
          <w:tcPr>
            <w:tcW w:w="6468" w:type="dxa"/>
          </w:tcPr>
          <w:p w:rsidR="007E6E12" w:rsidRPr="009B1C0C" w:rsidRDefault="00286566" w:rsidP="00F307A3">
            <w:pPr>
              <w:rPr>
                <w:sz w:val="24"/>
                <w:szCs w:val="24"/>
              </w:rPr>
            </w:pPr>
            <w:r w:rsidRPr="009B1C0C">
              <w:rPr>
                <w:rFonts w:eastAsia="Times New Roman"/>
                <w:sz w:val="24"/>
                <w:szCs w:val="24"/>
              </w:rPr>
              <w:t>The candidate will normally be rated unsatisfactory when evaluations by students and peers indicate that he/she has</w:t>
            </w:r>
            <w:r w:rsidR="00F307A3">
              <w:rPr>
                <w:rFonts w:eastAsia="Times New Roman"/>
                <w:sz w:val="24"/>
                <w:szCs w:val="24"/>
              </w:rPr>
              <w:t xml:space="preserve"> consistently </w:t>
            </w:r>
            <w:r w:rsidRPr="009B1C0C">
              <w:rPr>
                <w:rFonts w:eastAsia="Times New Roman"/>
                <w:sz w:val="24"/>
                <w:szCs w:val="24"/>
              </w:rPr>
              <w:t xml:space="preserve">been lacking competence as a teacher, when there is </w:t>
            </w:r>
            <w:r w:rsidR="00077414" w:rsidRPr="00104C2C">
              <w:rPr>
                <w:rFonts w:eastAsia="Times New Roman"/>
                <w:sz w:val="24"/>
                <w:szCs w:val="24"/>
              </w:rPr>
              <w:lastRenderedPageBreak/>
              <w:t xml:space="preserve">minimal </w:t>
            </w:r>
            <w:r w:rsidRPr="009B1C0C">
              <w:rPr>
                <w:rFonts w:eastAsia="Times New Roman"/>
                <w:sz w:val="24"/>
                <w:szCs w:val="24"/>
              </w:rPr>
              <w:t>evidence that the candidate has made innovations to course material and teaching methods, and when the candidate has neither addressed nor reduced any substantial deficiencies in teaching performance noted in a previous review.</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Scholarship</w:t>
            </w:r>
          </w:p>
        </w:tc>
        <w:tc>
          <w:tcPr>
            <w:tcW w:w="6468" w:type="dxa"/>
          </w:tcPr>
          <w:p w:rsidR="00025B48" w:rsidRPr="009B1C0C" w:rsidRDefault="00286566" w:rsidP="00934D09">
            <w:pPr>
              <w:rPr>
                <w:sz w:val="24"/>
                <w:szCs w:val="24"/>
              </w:rPr>
            </w:pPr>
            <w:r w:rsidRPr="009B1C0C">
              <w:rPr>
                <w:sz w:val="24"/>
                <w:szCs w:val="24"/>
              </w:rPr>
              <w:t>The candidate will normally be rated unsatisfactory when he/she fails to meet the standards for satisfactory noted above.</w:t>
            </w:r>
          </w:p>
        </w:tc>
      </w:tr>
      <w:tr w:rsidR="00025B48" w:rsidRPr="009B1C0C" w:rsidTr="004E767F">
        <w:tc>
          <w:tcPr>
            <w:tcW w:w="1758" w:type="dxa"/>
          </w:tcPr>
          <w:p w:rsidR="00025B48" w:rsidRPr="009B1C0C" w:rsidRDefault="00025B48" w:rsidP="00934D09">
            <w:pPr>
              <w:rPr>
                <w:sz w:val="24"/>
                <w:szCs w:val="24"/>
              </w:rPr>
            </w:pPr>
          </w:p>
        </w:tc>
        <w:tc>
          <w:tcPr>
            <w:tcW w:w="1446" w:type="dxa"/>
          </w:tcPr>
          <w:p w:rsidR="00025B48" w:rsidRPr="009B1C0C" w:rsidRDefault="00286566" w:rsidP="00934D09">
            <w:pPr>
              <w:rPr>
                <w:sz w:val="24"/>
                <w:szCs w:val="24"/>
              </w:rPr>
            </w:pPr>
            <w:r w:rsidRPr="009B1C0C">
              <w:rPr>
                <w:sz w:val="24"/>
                <w:szCs w:val="24"/>
              </w:rPr>
              <w:t>Service</w:t>
            </w:r>
          </w:p>
        </w:tc>
        <w:tc>
          <w:tcPr>
            <w:tcW w:w="6468" w:type="dxa"/>
          </w:tcPr>
          <w:p w:rsidR="00025B48" w:rsidRPr="009B1C0C" w:rsidRDefault="00286566" w:rsidP="00934D09">
            <w:pPr>
              <w:rPr>
                <w:sz w:val="24"/>
                <w:szCs w:val="24"/>
              </w:rPr>
            </w:pPr>
            <w:r w:rsidRPr="009B1C0C">
              <w:rPr>
                <w:sz w:val="24"/>
                <w:szCs w:val="24"/>
              </w:rPr>
              <w:t>The candidate will normally be rated unsatisfactory when he/she fails to meet the standards for satisfactory noted above.</w:t>
            </w:r>
          </w:p>
        </w:tc>
      </w:tr>
    </w:tbl>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p>
    <w:p w:rsidR="00321290" w:rsidRPr="009B1C0C" w:rsidRDefault="00286566" w:rsidP="00934D09">
      <w:pPr>
        <w:pStyle w:val="ListParagraph"/>
        <w:numPr>
          <w:ilvl w:val="0"/>
          <w:numId w:val="15"/>
        </w:numPr>
        <w:rPr>
          <w:sz w:val="24"/>
          <w:szCs w:val="24"/>
          <w:u w:val="single"/>
        </w:rPr>
      </w:pPr>
      <w:r w:rsidRPr="009B1C0C">
        <w:rPr>
          <w:sz w:val="24"/>
          <w:szCs w:val="24"/>
          <w:u w:val="single"/>
        </w:rPr>
        <w:t>TENURE CHANNELS</w:t>
      </w:r>
    </w:p>
    <w:p w:rsidR="004862F8" w:rsidRPr="00222DC3" w:rsidRDefault="004862F8"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sz w:val="10"/>
          <w:szCs w:val="10"/>
        </w:rPr>
      </w:pPr>
    </w:p>
    <w:p w:rsidR="009B1C0C" w:rsidRPr="009B1C0C" w:rsidRDefault="00286566" w:rsidP="0093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r w:rsidRPr="009B1C0C">
        <w:rPr>
          <w:b/>
        </w:rPr>
        <w:t>Preliminary/third-year review:</w:t>
      </w:r>
      <w:r w:rsidRPr="009B1C0C">
        <w:t xml:space="preserve">  </w:t>
      </w:r>
      <w:r w:rsidR="009B1C0C" w:rsidRPr="009B1C0C">
        <w:t xml:space="preserve">Candidates are evaluated according to college tenure criteria in order </w:t>
      </w:r>
      <w:r w:rsidR="002A272E">
        <w:t xml:space="preserve">to </w:t>
      </w:r>
      <w:r w:rsidR="009B1C0C" w:rsidRPr="009B1C0C">
        <w:t xml:space="preserve">ensure a positive trajectory toward tenure.  However, candidates are not expected to be </w:t>
      </w:r>
      <w:proofErr w:type="spellStart"/>
      <w:r w:rsidR="009B1C0C" w:rsidRPr="009B1C0C">
        <w:t>tenurable</w:t>
      </w:r>
      <w:proofErr w:type="spellEnd"/>
      <w:r w:rsidR="009B1C0C" w:rsidRPr="009B1C0C">
        <w:t xml:space="preserve"> at third-year review.  The point of the third-year </w:t>
      </w:r>
      <w:r w:rsidR="009B1C0C" w:rsidRPr="001B2FE0">
        <w:t xml:space="preserve">review is to </w:t>
      </w:r>
      <w:r w:rsidR="00D20592" w:rsidRPr="001B2FE0">
        <w:t>establish whether the candidate is making satisfactory or unsatisfactory progress</w:t>
      </w:r>
      <w:r w:rsidR="00DF4045" w:rsidRPr="001B2FE0">
        <w:t xml:space="preserve"> toward tenure</w:t>
      </w:r>
      <w:r w:rsidR="00D20592" w:rsidRPr="001B2FE0">
        <w:t>, and to</w:t>
      </w:r>
      <w:r w:rsidR="00DF4045" w:rsidRPr="001B2FE0">
        <w:t xml:space="preserve"> </w:t>
      </w:r>
      <w:r w:rsidR="009B1C0C" w:rsidRPr="001B2FE0">
        <w:t xml:space="preserve">identify what </w:t>
      </w:r>
      <w:r w:rsidR="00D20592" w:rsidRPr="001B2FE0">
        <w:t>remedial action</w:t>
      </w:r>
      <w:r w:rsidR="009B1C0C" w:rsidRPr="001B2FE0">
        <w:t xml:space="preserve"> candidates may need to </w:t>
      </w:r>
      <w:r w:rsidR="001B2FE0">
        <w:t xml:space="preserve">make </w:t>
      </w:r>
      <w:r w:rsidR="009B1C0C" w:rsidRPr="001B2FE0">
        <w:t>in order to be tenured.</w:t>
      </w:r>
    </w:p>
    <w:p w:rsidR="004862F8" w:rsidRPr="009B1C0C" w:rsidRDefault="004862F8" w:rsidP="0093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pPr>
    </w:p>
    <w:p w:rsidR="00516E8E" w:rsidRPr="009B1C0C" w:rsidRDefault="000508C8"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b/>
        </w:rPr>
      </w:pPr>
      <w:r>
        <w:rPr>
          <w:b/>
        </w:rPr>
        <w:t>Tenure /</w:t>
      </w:r>
      <w:r w:rsidR="00D97A64" w:rsidRPr="009B1C0C">
        <w:rPr>
          <w:b/>
        </w:rPr>
        <w:t>sixth-y</w:t>
      </w:r>
      <w:r w:rsidR="004862F8" w:rsidRPr="009B1C0C">
        <w:rPr>
          <w:b/>
        </w:rPr>
        <w:t xml:space="preserve">ear Review:  </w:t>
      </w:r>
      <w:r w:rsidR="00516E8E" w:rsidRPr="009B1C0C">
        <w:t>Five channels exist for the candidate to follow and be considered for tenure.  A candidate must meet or exceed all parts of one channel in order to meet the requirements for tenure.</w:t>
      </w:r>
    </w:p>
    <w:p w:rsidR="00516E8E" w:rsidRPr="00B01A01"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0" w:type="auto"/>
        <w:tblLook w:val="04A0"/>
      </w:tblPr>
      <w:tblGrid>
        <w:gridCol w:w="2290"/>
        <w:gridCol w:w="2333"/>
        <w:gridCol w:w="2684"/>
        <w:gridCol w:w="2269"/>
      </w:tblGrid>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9B1C0C">
              <w:rPr>
                <w:b/>
                <w:sz w:val="24"/>
                <w:szCs w:val="24"/>
              </w:rPr>
              <w:t>CHANNEL</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9B1C0C">
              <w:rPr>
                <w:b/>
                <w:sz w:val="24"/>
                <w:szCs w:val="24"/>
              </w:rPr>
              <w:t>TEACHING</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9B1C0C">
              <w:rPr>
                <w:b/>
                <w:sz w:val="24"/>
                <w:szCs w:val="24"/>
              </w:rPr>
              <w:t>SCHOLARSHIP</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9B1C0C">
              <w:rPr>
                <w:b/>
                <w:sz w:val="24"/>
                <w:szCs w:val="24"/>
              </w:rPr>
              <w:t>SERVICE</w:t>
            </w:r>
          </w:p>
        </w:tc>
      </w:tr>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I</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Excellent</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Satisfactory</w:t>
            </w:r>
          </w:p>
        </w:tc>
      </w:tr>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II</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Excellent</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Satisfactory</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r>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III</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 xml:space="preserve">Good </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r>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IV</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Excellent</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Satisfactory</w:t>
            </w:r>
          </w:p>
        </w:tc>
      </w:tr>
      <w:tr w:rsidR="00516E8E" w:rsidRPr="009B1C0C" w:rsidTr="006275A9">
        <w:tc>
          <w:tcPr>
            <w:tcW w:w="2290"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V</w:t>
            </w:r>
          </w:p>
        </w:tc>
        <w:tc>
          <w:tcPr>
            <w:tcW w:w="2333"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Good</w:t>
            </w:r>
          </w:p>
        </w:tc>
        <w:tc>
          <w:tcPr>
            <w:tcW w:w="2684"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Satisfactory</w:t>
            </w:r>
          </w:p>
        </w:tc>
        <w:tc>
          <w:tcPr>
            <w:tcW w:w="2269" w:type="dxa"/>
          </w:tcPr>
          <w:p w:rsidR="00516E8E" w:rsidRPr="009B1C0C" w:rsidRDefault="00516E8E"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B1C0C">
              <w:rPr>
                <w:sz w:val="24"/>
                <w:szCs w:val="24"/>
              </w:rPr>
              <w:t>Excellent</w:t>
            </w:r>
          </w:p>
        </w:tc>
      </w:tr>
    </w:tbl>
    <w:p w:rsidR="006275A9" w:rsidRPr="00B01A01" w:rsidRDefault="006275A9"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rStyle w:val="Strong"/>
          <w:u w:val="single"/>
        </w:rPr>
      </w:pPr>
    </w:p>
    <w:p w:rsidR="00321290" w:rsidRPr="009B1C0C" w:rsidRDefault="00321290" w:rsidP="00934D09">
      <w:pPr>
        <w:pStyle w:val="ListParagraph"/>
        <w:numPr>
          <w:ilvl w:val="0"/>
          <w:numId w:val="15"/>
        </w:numPr>
        <w:rPr>
          <w:sz w:val="24"/>
          <w:szCs w:val="24"/>
          <w:u w:val="single"/>
        </w:rPr>
      </w:pPr>
      <w:r w:rsidRPr="009B1C0C">
        <w:rPr>
          <w:sz w:val="24"/>
          <w:szCs w:val="24"/>
          <w:u w:val="single"/>
        </w:rPr>
        <w:t>TIMETABLE FOR TENURE ACTIONS</w:t>
      </w:r>
    </w:p>
    <w:p w:rsidR="009958D0" w:rsidRPr="00222DC3" w:rsidRDefault="009958D0" w:rsidP="00934D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sz w:val="10"/>
          <w:szCs w:val="10"/>
        </w:rPr>
      </w:pPr>
    </w:p>
    <w:p w:rsidR="009958D0" w:rsidRPr="00DF4045" w:rsidRDefault="009958D0" w:rsidP="00934D09">
      <w:r w:rsidRPr="009B1C0C">
        <w:t xml:space="preserve">The College of Social and Behavioral Sciences will adhere </w:t>
      </w:r>
      <w:r w:rsidRPr="00DF4045">
        <w:t>to the dated guidelines for the tenure process found in PPM 8-12.</w:t>
      </w:r>
    </w:p>
    <w:p w:rsidR="00077414" w:rsidRPr="00DF4045" w:rsidRDefault="00077414" w:rsidP="00934D09"/>
    <w:p w:rsidR="00077414" w:rsidRDefault="00077414" w:rsidP="00077414">
      <w:pPr>
        <w:pStyle w:val="ListParagraph"/>
        <w:numPr>
          <w:ilvl w:val="0"/>
          <w:numId w:val="15"/>
        </w:numPr>
        <w:rPr>
          <w:sz w:val="24"/>
          <w:szCs w:val="24"/>
          <w:u w:val="single"/>
        </w:rPr>
      </w:pPr>
      <w:r w:rsidRPr="00DF4045">
        <w:rPr>
          <w:sz w:val="24"/>
          <w:szCs w:val="24"/>
          <w:u w:val="single"/>
        </w:rPr>
        <w:t>EFFECTIVE DATE</w:t>
      </w:r>
    </w:p>
    <w:p w:rsidR="00635317" w:rsidRDefault="00635317" w:rsidP="00635317">
      <w:r w:rsidRPr="00DF4045">
        <w:t xml:space="preserve">This revised policy on tenure will be effective for all tenure-track faculty members who begin their service after the approval of the policy by the Board of </w:t>
      </w:r>
      <w:r w:rsidR="0072633E">
        <w:t>Trustees</w:t>
      </w:r>
      <w:r w:rsidRPr="00DF4045">
        <w:t>.</w:t>
      </w:r>
    </w:p>
    <w:p w:rsidR="00635317" w:rsidRDefault="00635317" w:rsidP="00635317">
      <w:pPr>
        <w:pStyle w:val="ListParagraph"/>
        <w:numPr>
          <w:ilvl w:val="0"/>
          <w:numId w:val="0"/>
        </w:numPr>
        <w:ind w:left="720"/>
        <w:rPr>
          <w:sz w:val="24"/>
          <w:szCs w:val="24"/>
          <w:u w:val="single"/>
        </w:rPr>
      </w:pPr>
    </w:p>
    <w:p w:rsidR="008965CC" w:rsidRPr="00AA2C8A" w:rsidRDefault="008965CC" w:rsidP="00AA2C8A">
      <w:pPr>
        <w:ind w:left="720" w:hanging="360"/>
        <w:rPr>
          <w:u w:val="single"/>
        </w:rPr>
      </w:pPr>
    </w:p>
    <w:sectPr w:rsidR="008965CC" w:rsidRPr="00AA2C8A" w:rsidSect="00EA7C9F">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27" w:rsidRDefault="00A45427" w:rsidP="009958D0">
      <w:r>
        <w:separator/>
      </w:r>
    </w:p>
  </w:endnote>
  <w:endnote w:type="continuationSeparator" w:id="0">
    <w:p w:rsidR="00A45427" w:rsidRDefault="00A45427" w:rsidP="00995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FE" w:rsidRDefault="00A333BD">
    <w:pPr>
      <w:framePr w:wrap="notBeside" w:hAnchor="text" w:xAlign="center"/>
    </w:pPr>
    <w:r>
      <w:fldChar w:fldCharType="begin"/>
    </w:r>
    <w:r w:rsidR="00FB1DE6">
      <w:instrText xml:space="preserve"> PAGE  </w:instrText>
    </w:r>
    <w:r>
      <w:fldChar w:fldCharType="separate"/>
    </w:r>
    <w:r w:rsidR="00CB2BD0">
      <w:rPr>
        <w:noProof/>
      </w:rPr>
      <w:t>1</w:t>
    </w:r>
    <w:r>
      <w:fldChar w:fldCharType="end"/>
    </w:r>
  </w:p>
  <w:p w:rsidR="000C08FE" w:rsidRDefault="00CB2B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17" w:rsidRDefault="00A333BD">
    <w:pPr>
      <w:framePr w:wrap="notBeside" w:hAnchor="text" w:xAlign="center"/>
    </w:pPr>
    <w:r>
      <w:fldChar w:fldCharType="begin"/>
    </w:r>
    <w:r w:rsidR="00A45427">
      <w:instrText xml:space="preserve"> PAGE  </w:instrText>
    </w:r>
    <w:r>
      <w:fldChar w:fldCharType="separate"/>
    </w:r>
    <w:r w:rsidR="00CB2BD0">
      <w:rPr>
        <w:noProof/>
      </w:rPr>
      <w:t>6</w:t>
    </w:r>
    <w:r>
      <w:rPr>
        <w:noProof/>
      </w:rPr>
      <w:fldChar w:fldCharType="end"/>
    </w:r>
  </w:p>
  <w:p w:rsidR="00635317" w:rsidRDefault="006353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27" w:rsidRDefault="00A45427" w:rsidP="009958D0">
      <w:r>
        <w:separator/>
      </w:r>
    </w:p>
  </w:footnote>
  <w:footnote w:type="continuationSeparator" w:id="0">
    <w:p w:rsidR="00A45427" w:rsidRDefault="00A45427" w:rsidP="00995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51" w:rsidRDefault="00FC3C51" w:rsidP="00AA59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BCE78C"/>
    <w:lvl w:ilvl="0">
      <w:numFmt w:val="bullet"/>
      <w:lvlText w:val="*"/>
      <w:lvlJc w:val="left"/>
    </w:lvl>
  </w:abstractNum>
  <w:abstractNum w:abstractNumId="1">
    <w:nsid w:val="028903CA"/>
    <w:multiLevelType w:val="hybridMultilevel"/>
    <w:tmpl w:val="A070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731D1"/>
    <w:multiLevelType w:val="hybridMultilevel"/>
    <w:tmpl w:val="01C43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300E9"/>
    <w:multiLevelType w:val="hybridMultilevel"/>
    <w:tmpl w:val="9E56B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71E3"/>
    <w:multiLevelType w:val="hybridMultilevel"/>
    <w:tmpl w:val="43A8E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C6AE6"/>
    <w:multiLevelType w:val="hybridMultilevel"/>
    <w:tmpl w:val="918AD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728B7"/>
    <w:multiLevelType w:val="hybridMultilevel"/>
    <w:tmpl w:val="7BBA13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C84A1B"/>
    <w:multiLevelType w:val="hybridMultilevel"/>
    <w:tmpl w:val="60B2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30F73"/>
    <w:multiLevelType w:val="multilevel"/>
    <w:tmpl w:val="E6C0E1A8"/>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3BDD48B7"/>
    <w:multiLevelType w:val="hybridMultilevel"/>
    <w:tmpl w:val="AC4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C061E"/>
    <w:multiLevelType w:val="hybridMultilevel"/>
    <w:tmpl w:val="06A0A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34327"/>
    <w:multiLevelType w:val="hybridMultilevel"/>
    <w:tmpl w:val="5BC28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D196B"/>
    <w:multiLevelType w:val="hybridMultilevel"/>
    <w:tmpl w:val="7C30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666E7"/>
    <w:multiLevelType w:val="hybridMultilevel"/>
    <w:tmpl w:val="CF78E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E62CB"/>
    <w:multiLevelType w:val="hybridMultilevel"/>
    <w:tmpl w:val="AE64C55A"/>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946CC"/>
    <w:multiLevelType w:val="hybridMultilevel"/>
    <w:tmpl w:val="B01A84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3251F"/>
    <w:multiLevelType w:val="hybridMultilevel"/>
    <w:tmpl w:val="9DA6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7B4A6D"/>
    <w:multiLevelType w:val="hybridMultilevel"/>
    <w:tmpl w:val="E78A1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65C7C"/>
    <w:multiLevelType w:val="hybridMultilevel"/>
    <w:tmpl w:val="78C4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B3C5E"/>
    <w:multiLevelType w:val="hybridMultilevel"/>
    <w:tmpl w:val="7AE051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766F6"/>
    <w:multiLevelType w:val="hybridMultilevel"/>
    <w:tmpl w:val="4E406B38"/>
    <w:lvl w:ilvl="0" w:tplc="3F46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84DEF"/>
    <w:multiLevelType w:val="hybridMultilevel"/>
    <w:tmpl w:val="4E406B38"/>
    <w:lvl w:ilvl="0" w:tplc="3F46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502BC"/>
    <w:multiLevelType w:val="hybridMultilevel"/>
    <w:tmpl w:val="5476C6D0"/>
    <w:lvl w:ilvl="0" w:tplc="6DF0F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41B4D"/>
    <w:multiLevelType w:val="hybridMultilevel"/>
    <w:tmpl w:val="6798C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434F"/>
    <w:multiLevelType w:val="hybridMultilevel"/>
    <w:tmpl w:val="0D8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96682"/>
    <w:multiLevelType w:val="hybridMultilevel"/>
    <w:tmpl w:val="F7D8B5DC"/>
    <w:lvl w:ilvl="0" w:tplc="855C88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61A72"/>
    <w:multiLevelType w:val="hybridMultilevel"/>
    <w:tmpl w:val="24960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B7491"/>
    <w:multiLevelType w:val="hybridMultilevel"/>
    <w:tmpl w:val="397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B196F"/>
    <w:multiLevelType w:val="hybridMultilevel"/>
    <w:tmpl w:val="B48A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81B04"/>
    <w:multiLevelType w:val="hybridMultilevel"/>
    <w:tmpl w:val="4BE4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95606"/>
    <w:multiLevelType w:val="hybridMultilevel"/>
    <w:tmpl w:val="E0A0D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C10969"/>
    <w:multiLevelType w:val="hybridMultilevel"/>
    <w:tmpl w:val="EF5C2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D4F36"/>
    <w:multiLevelType w:val="hybridMultilevel"/>
    <w:tmpl w:val="DFF65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42351"/>
    <w:multiLevelType w:val="hybridMultilevel"/>
    <w:tmpl w:val="490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8"/>
  </w:num>
  <w:num w:numId="5">
    <w:abstractNumId w:val="24"/>
  </w:num>
  <w:num w:numId="6">
    <w:abstractNumId w:val="16"/>
  </w:num>
  <w:num w:numId="7">
    <w:abstractNumId w:val="30"/>
  </w:num>
  <w:num w:numId="8">
    <w:abstractNumId w:val="33"/>
  </w:num>
  <w:num w:numId="9">
    <w:abstractNumId w:val="28"/>
  </w:num>
  <w:num w:numId="10">
    <w:abstractNumId w:val="27"/>
  </w:num>
  <w:num w:numId="11">
    <w:abstractNumId w:val="12"/>
  </w:num>
  <w:num w:numId="12">
    <w:abstractNumId w:val="14"/>
  </w:num>
  <w:num w:numId="13">
    <w:abstractNumId w:val="18"/>
  </w:num>
  <w:num w:numId="14">
    <w:abstractNumId w:val="25"/>
  </w:num>
  <w:num w:numId="15">
    <w:abstractNumId w:val="26"/>
  </w:num>
  <w:num w:numId="16">
    <w:abstractNumId w:val="11"/>
  </w:num>
  <w:num w:numId="17">
    <w:abstractNumId w:val="17"/>
  </w:num>
  <w:num w:numId="18">
    <w:abstractNumId w:val="32"/>
  </w:num>
  <w:num w:numId="19">
    <w:abstractNumId w:val="2"/>
  </w:num>
  <w:num w:numId="20">
    <w:abstractNumId w:val="3"/>
  </w:num>
  <w:num w:numId="21">
    <w:abstractNumId w:val="4"/>
  </w:num>
  <w:num w:numId="22">
    <w:abstractNumId w:val="13"/>
  </w:num>
  <w:num w:numId="23">
    <w:abstractNumId w:val="31"/>
  </w:num>
  <w:num w:numId="24">
    <w:abstractNumId w:val="19"/>
  </w:num>
  <w:num w:numId="25">
    <w:abstractNumId w:val="23"/>
  </w:num>
  <w:num w:numId="26">
    <w:abstractNumId w:val="10"/>
  </w:num>
  <w:num w:numId="27">
    <w:abstractNumId w:val="15"/>
  </w:num>
  <w:num w:numId="28">
    <w:abstractNumId w:val="1"/>
  </w:num>
  <w:num w:numId="29">
    <w:abstractNumId w:val="7"/>
  </w:num>
  <w:num w:numId="30">
    <w:abstractNumId w:val="6"/>
  </w:num>
  <w:num w:numId="31">
    <w:abstractNumId w:val="22"/>
  </w:num>
  <w:num w:numId="32">
    <w:abstractNumId w:val="21"/>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60801"/>
    <w:rsid w:val="000045FE"/>
    <w:rsid w:val="00025B48"/>
    <w:rsid w:val="00037B69"/>
    <w:rsid w:val="00043C3B"/>
    <w:rsid w:val="000508C8"/>
    <w:rsid w:val="0005454C"/>
    <w:rsid w:val="000635D3"/>
    <w:rsid w:val="00064E7B"/>
    <w:rsid w:val="00073120"/>
    <w:rsid w:val="00077414"/>
    <w:rsid w:val="000A0F99"/>
    <w:rsid w:val="000C3BF3"/>
    <w:rsid w:val="000C5444"/>
    <w:rsid w:val="000D3F89"/>
    <w:rsid w:val="000E053D"/>
    <w:rsid w:val="000E062A"/>
    <w:rsid w:val="000E6B37"/>
    <w:rsid w:val="000F7108"/>
    <w:rsid w:val="00104C2C"/>
    <w:rsid w:val="0012673F"/>
    <w:rsid w:val="00127CBE"/>
    <w:rsid w:val="00133BB3"/>
    <w:rsid w:val="00137714"/>
    <w:rsid w:val="00137B60"/>
    <w:rsid w:val="0018244E"/>
    <w:rsid w:val="001B2FE0"/>
    <w:rsid w:val="001C7C52"/>
    <w:rsid w:val="001D2A19"/>
    <w:rsid w:val="001F1CE6"/>
    <w:rsid w:val="0020369D"/>
    <w:rsid w:val="00214A57"/>
    <w:rsid w:val="002152EF"/>
    <w:rsid w:val="00222DC3"/>
    <w:rsid w:val="00224FD7"/>
    <w:rsid w:val="00245A34"/>
    <w:rsid w:val="00267FED"/>
    <w:rsid w:val="00282FBD"/>
    <w:rsid w:val="00286566"/>
    <w:rsid w:val="002A228A"/>
    <w:rsid w:val="002A272E"/>
    <w:rsid w:val="002D2E82"/>
    <w:rsid w:val="002D3420"/>
    <w:rsid w:val="002D4664"/>
    <w:rsid w:val="002E1FB1"/>
    <w:rsid w:val="00321290"/>
    <w:rsid w:val="00343890"/>
    <w:rsid w:val="00347FC3"/>
    <w:rsid w:val="003568AA"/>
    <w:rsid w:val="00357770"/>
    <w:rsid w:val="00374B5D"/>
    <w:rsid w:val="00380C64"/>
    <w:rsid w:val="003B16F6"/>
    <w:rsid w:val="003C2100"/>
    <w:rsid w:val="003D6583"/>
    <w:rsid w:val="003E7598"/>
    <w:rsid w:val="00420261"/>
    <w:rsid w:val="004207FD"/>
    <w:rsid w:val="004603DB"/>
    <w:rsid w:val="00460801"/>
    <w:rsid w:val="004862F8"/>
    <w:rsid w:val="004C4406"/>
    <w:rsid w:val="004D7B18"/>
    <w:rsid w:val="004D7FB0"/>
    <w:rsid w:val="004E146C"/>
    <w:rsid w:val="004E3A0A"/>
    <w:rsid w:val="004E767F"/>
    <w:rsid w:val="004F39C8"/>
    <w:rsid w:val="005052C4"/>
    <w:rsid w:val="0051528F"/>
    <w:rsid w:val="00516DC9"/>
    <w:rsid w:val="00516E8E"/>
    <w:rsid w:val="0052022D"/>
    <w:rsid w:val="005209A3"/>
    <w:rsid w:val="00520F30"/>
    <w:rsid w:val="00524826"/>
    <w:rsid w:val="00526F08"/>
    <w:rsid w:val="0055618F"/>
    <w:rsid w:val="0056265E"/>
    <w:rsid w:val="00567CE0"/>
    <w:rsid w:val="00574273"/>
    <w:rsid w:val="00585523"/>
    <w:rsid w:val="005B4F8C"/>
    <w:rsid w:val="005D3269"/>
    <w:rsid w:val="005E200D"/>
    <w:rsid w:val="005E4DA2"/>
    <w:rsid w:val="005F0D8E"/>
    <w:rsid w:val="006132C8"/>
    <w:rsid w:val="00613C51"/>
    <w:rsid w:val="00621E99"/>
    <w:rsid w:val="00622F90"/>
    <w:rsid w:val="006275A9"/>
    <w:rsid w:val="00635317"/>
    <w:rsid w:val="00646B87"/>
    <w:rsid w:val="006476B5"/>
    <w:rsid w:val="006568F6"/>
    <w:rsid w:val="00666F16"/>
    <w:rsid w:val="006938AE"/>
    <w:rsid w:val="006A3F3B"/>
    <w:rsid w:val="006A6191"/>
    <w:rsid w:val="006B0344"/>
    <w:rsid w:val="006B533C"/>
    <w:rsid w:val="006B7FA1"/>
    <w:rsid w:val="006D7158"/>
    <w:rsid w:val="006E47E7"/>
    <w:rsid w:val="006E76B6"/>
    <w:rsid w:val="00702139"/>
    <w:rsid w:val="00717945"/>
    <w:rsid w:val="0072633E"/>
    <w:rsid w:val="007377B9"/>
    <w:rsid w:val="00737CD7"/>
    <w:rsid w:val="00744472"/>
    <w:rsid w:val="007550B7"/>
    <w:rsid w:val="00766BC6"/>
    <w:rsid w:val="00767274"/>
    <w:rsid w:val="00780898"/>
    <w:rsid w:val="007D1F13"/>
    <w:rsid w:val="007E6E12"/>
    <w:rsid w:val="008132F1"/>
    <w:rsid w:val="0082279E"/>
    <w:rsid w:val="008254E4"/>
    <w:rsid w:val="00832EB2"/>
    <w:rsid w:val="0083673A"/>
    <w:rsid w:val="008438B7"/>
    <w:rsid w:val="008445AB"/>
    <w:rsid w:val="008477FA"/>
    <w:rsid w:val="00862D79"/>
    <w:rsid w:val="008659EA"/>
    <w:rsid w:val="00875844"/>
    <w:rsid w:val="00890374"/>
    <w:rsid w:val="008965CC"/>
    <w:rsid w:val="008A4322"/>
    <w:rsid w:val="008D16D6"/>
    <w:rsid w:val="008D1ACD"/>
    <w:rsid w:val="008D4566"/>
    <w:rsid w:val="008D4E79"/>
    <w:rsid w:val="008D664D"/>
    <w:rsid w:val="008D7C00"/>
    <w:rsid w:val="008E7DD9"/>
    <w:rsid w:val="008F0D7D"/>
    <w:rsid w:val="008F5F97"/>
    <w:rsid w:val="00912565"/>
    <w:rsid w:val="00915A3F"/>
    <w:rsid w:val="009241BA"/>
    <w:rsid w:val="00925365"/>
    <w:rsid w:val="00925EC1"/>
    <w:rsid w:val="00934D09"/>
    <w:rsid w:val="00941052"/>
    <w:rsid w:val="0094609A"/>
    <w:rsid w:val="009559C6"/>
    <w:rsid w:val="0097291C"/>
    <w:rsid w:val="00973731"/>
    <w:rsid w:val="00977AA7"/>
    <w:rsid w:val="00991CE1"/>
    <w:rsid w:val="009958D0"/>
    <w:rsid w:val="009B15A1"/>
    <w:rsid w:val="009B1C0C"/>
    <w:rsid w:val="009D2737"/>
    <w:rsid w:val="009F7694"/>
    <w:rsid w:val="00A0233F"/>
    <w:rsid w:val="00A04DE5"/>
    <w:rsid w:val="00A15749"/>
    <w:rsid w:val="00A333BD"/>
    <w:rsid w:val="00A41032"/>
    <w:rsid w:val="00A45427"/>
    <w:rsid w:val="00A53197"/>
    <w:rsid w:val="00A600AA"/>
    <w:rsid w:val="00A63984"/>
    <w:rsid w:val="00A71A80"/>
    <w:rsid w:val="00A71CF7"/>
    <w:rsid w:val="00A7286E"/>
    <w:rsid w:val="00A76726"/>
    <w:rsid w:val="00A80B78"/>
    <w:rsid w:val="00A837C6"/>
    <w:rsid w:val="00A83EE3"/>
    <w:rsid w:val="00AA10DF"/>
    <w:rsid w:val="00AA2C8A"/>
    <w:rsid w:val="00AA595E"/>
    <w:rsid w:val="00AB2C28"/>
    <w:rsid w:val="00AC11FB"/>
    <w:rsid w:val="00AC4E74"/>
    <w:rsid w:val="00AD4645"/>
    <w:rsid w:val="00AF23A4"/>
    <w:rsid w:val="00B01A01"/>
    <w:rsid w:val="00B02CBA"/>
    <w:rsid w:val="00B22741"/>
    <w:rsid w:val="00B258FF"/>
    <w:rsid w:val="00B32A13"/>
    <w:rsid w:val="00B34421"/>
    <w:rsid w:val="00B63F77"/>
    <w:rsid w:val="00B704EF"/>
    <w:rsid w:val="00B75D50"/>
    <w:rsid w:val="00B91E62"/>
    <w:rsid w:val="00BF5921"/>
    <w:rsid w:val="00C05623"/>
    <w:rsid w:val="00C24AC7"/>
    <w:rsid w:val="00C50E19"/>
    <w:rsid w:val="00C52790"/>
    <w:rsid w:val="00C865CC"/>
    <w:rsid w:val="00C92D15"/>
    <w:rsid w:val="00CB2BD0"/>
    <w:rsid w:val="00CE2678"/>
    <w:rsid w:val="00CE3477"/>
    <w:rsid w:val="00CE3D09"/>
    <w:rsid w:val="00CF5A32"/>
    <w:rsid w:val="00CF718B"/>
    <w:rsid w:val="00D0007A"/>
    <w:rsid w:val="00D00DE1"/>
    <w:rsid w:val="00D12DE9"/>
    <w:rsid w:val="00D20592"/>
    <w:rsid w:val="00D207DE"/>
    <w:rsid w:val="00D20901"/>
    <w:rsid w:val="00D37CBE"/>
    <w:rsid w:val="00D46B3F"/>
    <w:rsid w:val="00D97A64"/>
    <w:rsid w:val="00DA3167"/>
    <w:rsid w:val="00DD3932"/>
    <w:rsid w:val="00DF4045"/>
    <w:rsid w:val="00DF5280"/>
    <w:rsid w:val="00E04DB2"/>
    <w:rsid w:val="00E12861"/>
    <w:rsid w:val="00E14DE6"/>
    <w:rsid w:val="00E24284"/>
    <w:rsid w:val="00E2590A"/>
    <w:rsid w:val="00E3023E"/>
    <w:rsid w:val="00E30984"/>
    <w:rsid w:val="00E359BD"/>
    <w:rsid w:val="00E40C2D"/>
    <w:rsid w:val="00E42DAC"/>
    <w:rsid w:val="00E42ED6"/>
    <w:rsid w:val="00E45790"/>
    <w:rsid w:val="00E621EF"/>
    <w:rsid w:val="00E87FBD"/>
    <w:rsid w:val="00E96BAA"/>
    <w:rsid w:val="00EA7C9F"/>
    <w:rsid w:val="00ED4E99"/>
    <w:rsid w:val="00F070DF"/>
    <w:rsid w:val="00F16493"/>
    <w:rsid w:val="00F20CC9"/>
    <w:rsid w:val="00F307A3"/>
    <w:rsid w:val="00F5356B"/>
    <w:rsid w:val="00F73028"/>
    <w:rsid w:val="00F74B7D"/>
    <w:rsid w:val="00F84094"/>
    <w:rsid w:val="00FA4A3D"/>
    <w:rsid w:val="00FA756D"/>
    <w:rsid w:val="00FB0480"/>
    <w:rsid w:val="00FB12B2"/>
    <w:rsid w:val="00FB1DE6"/>
    <w:rsid w:val="00FC3C51"/>
    <w:rsid w:val="00FD0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0801"/>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37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801"/>
    <w:rPr>
      <w:b/>
      <w:bCs/>
    </w:rPr>
  </w:style>
  <w:style w:type="paragraph" w:styleId="ListParagraph">
    <w:name w:val="List Paragraph"/>
    <w:basedOn w:val="Normal"/>
    <w:uiPriority w:val="34"/>
    <w:qFormat/>
    <w:rsid w:val="00766BC6"/>
    <w:pPr>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character" w:styleId="CommentReference">
    <w:name w:val="annotation reference"/>
    <w:basedOn w:val="DefaultParagraphFont"/>
    <w:uiPriority w:val="99"/>
    <w:semiHidden/>
    <w:unhideWhenUsed/>
    <w:rsid w:val="00460801"/>
    <w:rPr>
      <w:sz w:val="16"/>
      <w:szCs w:val="16"/>
    </w:rPr>
  </w:style>
  <w:style w:type="paragraph" w:styleId="CommentText">
    <w:name w:val="annotation text"/>
    <w:basedOn w:val="Normal"/>
    <w:link w:val="CommentTextChar"/>
    <w:uiPriority w:val="99"/>
    <w:semiHidden/>
    <w:unhideWhenUsed/>
    <w:rsid w:val="00460801"/>
    <w:rPr>
      <w:sz w:val="20"/>
      <w:szCs w:val="20"/>
    </w:rPr>
  </w:style>
  <w:style w:type="character" w:customStyle="1" w:styleId="CommentTextChar">
    <w:name w:val="Comment Text Char"/>
    <w:basedOn w:val="DefaultParagraphFont"/>
    <w:link w:val="CommentText"/>
    <w:uiPriority w:val="99"/>
    <w:semiHidden/>
    <w:rsid w:val="004608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0801"/>
    <w:rPr>
      <w:rFonts w:ascii="Tahoma" w:hAnsi="Tahoma" w:cs="Tahoma"/>
      <w:sz w:val="16"/>
      <w:szCs w:val="16"/>
    </w:rPr>
  </w:style>
  <w:style w:type="character" w:customStyle="1" w:styleId="BalloonTextChar">
    <w:name w:val="Balloon Text Char"/>
    <w:basedOn w:val="DefaultParagraphFont"/>
    <w:link w:val="BalloonText"/>
    <w:uiPriority w:val="99"/>
    <w:semiHidden/>
    <w:rsid w:val="004608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533C"/>
    <w:rPr>
      <w:b/>
      <w:bCs/>
    </w:rPr>
  </w:style>
  <w:style w:type="character" w:customStyle="1" w:styleId="CommentSubjectChar">
    <w:name w:val="Comment Subject Char"/>
    <w:basedOn w:val="CommentTextChar"/>
    <w:link w:val="CommentSubject"/>
    <w:uiPriority w:val="99"/>
    <w:semiHidden/>
    <w:rsid w:val="006B533C"/>
    <w:rPr>
      <w:rFonts w:ascii="Times New Roman" w:hAnsi="Times New Roman" w:cs="Times New Roman"/>
      <w:b/>
      <w:bCs/>
      <w:sz w:val="20"/>
      <w:szCs w:val="20"/>
    </w:rPr>
  </w:style>
  <w:style w:type="paragraph" w:styleId="Revision">
    <w:name w:val="Revision"/>
    <w:hidden/>
    <w:uiPriority w:val="99"/>
    <w:semiHidden/>
    <w:rsid w:val="006B533C"/>
    <w:pPr>
      <w:spacing w:after="0" w:line="240" w:lineRule="auto"/>
    </w:pPr>
    <w:rPr>
      <w:rFonts w:ascii="Times New Roman" w:hAnsi="Times New Roman" w:cs="Times New Roman"/>
      <w:sz w:val="24"/>
      <w:szCs w:val="24"/>
    </w:rPr>
  </w:style>
  <w:style w:type="paragraph" w:customStyle="1" w:styleId="17">
    <w:name w:val="_17"/>
    <w:uiPriority w:val="99"/>
    <w:rsid w:val="009958D0"/>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9958D0"/>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9958D0"/>
    <w:pPr>
      <w:tabs>
        <w:tab w:val="center" w:pos="4680"/>
        <w:tab w:val="right" w:pos="9360"/>
      </w:tabs>
    </w:pPr>
  </w:style>
  <w:style w:type="character" w:customStyle="1" w:styleId="HeaderChar">
    <w:name w:val="Header Char"/>
    <w:basedOn w:val="DefaultParagraphFont"/>
    <w:link w:val="Header"/>
    <w:uiPriority w:val="99"/>
    <w:rsid w:val="009958D0"/>
    <w:rPr>
      <w:rFonts w:ascii="Times New Roman" w:hAnsi="Times New Roman" w:cs="Times New Roman"/>
      <w:sz w:val="24"/>
      <w:szCs w:val="24"/>
    </w:rPr>
  </w:style>
  <w:style w:type="paragraph" w:styleId="Footer">
    <w:name w:val="footer"/>
    <w:basedOn w:val="Normal"/>
    <w:link w:val="FooterChar"/>
    <w:uiPriority w:val="99"/>
    <w:semiHidden/>
    <w:unhideWhenUsed/>
    <w:rsid w:val="009958D0"/>
    <w:pPr>
      <w:tabs>
        <w:tab w:val="center" w:pos="4680"/>
        <w:tab w:val="right" w:pos="9360"/>
      </w:tabs>
    </w:pPr>
  </w:style>
  <w:style w:type="character" w:customStyle="1" w:styleId="FooterChar">
    <w:name w:val="Footer Char"/>
    <w:basedOn w:val="DefaultParagraphFont"/>
    <w:link w:val="Footer"/>
    <w:uiPriority w:val="99"/>
    <w:semiHidden/>
    <w:rsid w:val="009958D0"/>
    <w:rPr>
      <w:rFonts w:ascii="Times New Roman" w:hAnsi="Times New Roman" w:cs="Times New Roman"/>
      <w:sz w:val="24"/>
      <w:szCs w:val="24"/>
    </w:rPr>
  </w:style>
  <w:style w:type="table" w:styleId="TableGrid">
    <w:name w:val="Table Grid"/>
    <w:basedOn w:val="TableNormal"/>
    <w:uiPriority w:val="59"/>
    <w:rsid w:val="00F0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ACD"/>
    <w:rPr>
      <w:color w:val="0000FF" w:themeColor="hyperlink"/>
      <w:u w:val="single"/>
    </w:rPr>
  </w:style>
  <w:style w:type="character" w:customStyle="1" w:styleId="Heading1Char">
    <w:name w:val="Heading 1 Char"/>
    <w:basedOn w:val="DefaultParagraphFont"/>
    <w:link w:val="Heading1"/>
    <w:uiPriority w:val="9"/>
    <w:rsid w:val="00737C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0801"/>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801"/>
    <w:rPr>
      <w:b/>
      <w:bCs/>
    </w:rPr>
  </w:style>
  <w:style w:type="paragraph" w:styleId="ListParagraph">
    <w:name w:val="List Paragraph"/>
    <w:basedOn w:val="Normal"/>
    <w:uiPriority w:val="34"/>
    <w:qFormat/>
    <w:rsid w:val="00766BC6"/>
    <w:pPr>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character" w:styleId="CommentReference">
    <w:name w:val="annotation reference"/>
    <w:basedOn w:val="DefaultParagraphFont"/>
    <w:uiPriority w:val="99"/>
    <w:semiHidden/>
    <w:unhideWhenUsed/>
    <w:rsid w:val="00460801"/>
    <w:rPr>
      <w:sz w:val="16"/>
      <w:szCs w:val="16"/>
    </w:rPr>
  </w:style>
  <w:style w:type="paragraph" w:styleId="CommentText">
    <w:name w:val="annotation text"/>
    <w:basedOn w:val="Normal"/>
    <w:link w:val="CommentTextChar"/>
    <w:uiPriority w:val="99"/>
    <w:semiHidden/>
    <w:unhideWhenUsed/>
    <w:rsid w:val="00460801"/>
    <w:rPr>
      <w:sz w:val="20"/>
      <w:szCs w:val="20"/>
    </w:rPr>
  </w:style>
  <w:style w:type="character" w:customStyle="1" w:styleId="CommentTextChar">
    <w:name w:val="Comment Text Char"/>
    <w:basedOn w:val="DefaultParagraphFont"/>
    <w:link w:val="CommentText"/>
    <w:uiPriority w:val="99"/>
    <w:semiHidden/>
    <w:rsid w:val="004608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0801"/>
    <w:rPr>
      <w:rFonts w:ascii="Tahoma" w:hAnsi="Tahoma" w:cs="Tahoma"/>
      <w:sz w:val="16"/>
      <w:szCs w:val="16"/>
    </w:rPr>
  </w:style>
  <w:style w:type="character" w:customStyle="1" w:styleId="BalloonTextChar">
    <w:name w:val="Balloon Text Char"/>
    <w:basedOn w:val="DefaultParagraphFont"/>
    <w:link w:val="BalloonText"/>
    <w:uiPriority w:val="99"/>
    <w:semiHidden/>
    <w:rsid w:val="004608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533C"/>
    <w:rPr>
      <w:b/>
      <w:bCs/>
    </w:rPr>
  </w:style>
  <w:style w:type="character" w:customStyle="1" w:styleId="CommentSubjectChar">
    <w:name w:val="Comment Subject Char"/>
    <w:basedOn w:val="CommentTextChar"/>
    <w:link w:val="CommentSubject"/>
    <w:uiPriority w:val="99"/>
    <w:semiHidden/>
    <w:rsid w:val="006B533C"/>
    <w:rPr>
      <w:rFonts w:ascii="Times New Roman" w:hAnsi="Times New Roman" w:cs="Times New Roman"/>
      <w:b/>
      <w:bCs/>
      <w:sz w:val="20"/>
      <w:szCs w:val="20"/>
    </w:rPr>
  </w:style>
  <w:style w:type="paragraph" w:styleId="Revision">
    <w:name w:val="Revision"/>
    <w:hidden/>
    <w:uiPriority w:val="99"/>
    <w:semiHidden/>
    <w:rsid w:val="006B533C"/>
    <w:pPr>
      <w:spacing w:after="0" w:line="240" w:lineRule="auto"/>
    </w:pPr>
    <w:rPr>
      <w:rFonts w:ascii="Times New Roman" w:hAnsi="Times New Roman" w:cs="Times New Roman"/>
      <w:sz w:val="24"/>
      <w:szCs w:val="24"/>
    </w:rPr>
  </w:style>
  <w:style w:type="paragraph" w:customStyle="1" w:styleId="17">
    <w:name w:val="_17"/>
    <w:uiPriority w:val="99"/>
    <w:rsid w:val="009958D0"/>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9958D0"/>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9958D0"/>
    <w:pPr>
      <w:tabs>
        <w:tab w:val="center" w:pos="4680"/>
        <w:tab w:val="right" w:pos="9360"/>
      </w:tabs>
    </w:pPr>
  </w:style>
  <w:style w:type="character" w:customStyle="1" w:styleId="HeaderChar">
    <w:name w:val="Header Char"/>
    <w:basedOn w:val="DefaultParagraphFont"/>
    <w:link w:val="Header"/>
    <w:uiPriority w:val="99"/>
    <w:rsid w:val="009958D0"/>
    <w:rPr>
      <w:rFonts w:ascii="Times New Roman" w:hAnsi="Times New Roman" w:cs="Times New Roman"/>
      <w:sz w:val="24"/>
      <w:szCs w:val="24"/>
    </w:rPr>
  </w:style>
  <w:style w:type="paragraph" w:styleId="Footer">
    <w:name w:val="footer"/>
    <w:basedOn w:val="Normal"/>
    <w:link w:val="FooterChar"/>
    <w:uiPriority w:val="99"/>
    <w:semiHidden/>
    <w:unhideWhenUsed/>
    <w:rsid w:val="009958D0"/>
    <w:pPr>
      <w:tabs>
        <w:tab w:val="center" w:pos="4680"/>
        <w:tab w:val="right" w:pos="9360"/>
      </w:tabs>
    </w:pPr>
  </w:style>
  <w:style w:type="character" w:customStyle="1" w:styleId="FooterChar">
    <w:name w:val="Footer Char"/>
    <w:basedOn w:val="DefaultParagraphFont"/>
    <w:link w:val="Footer"/>
    <w:uiPriority w:val="99"/>
    <w:semiHidden/>
    <w:rsid w:val="009958D0"/>
    <w:rPr>
      <w:rFonts w:ascii="Times New Roman" w:hAnsi="Times New Roman" w:cs="Times New Roman"/>
      <w:sz w:val="24"/>
      <w:szCs w:val="24"/>
    </w:rPr>
  </w:style>
  <w:style w:type="table" w:styleId="TableGrid">
    <w:name w:val="Table Grid"/>
    <w:basedOn w:val="TableNormal"/>
    <w:uiPriority w:val="59"/>
    <w:rsid w:val="00F0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985867">
      <w:bodyDiv w:val="1"/>
      <w:marLeft w:val="0"/>
      <w:marRight w:val="0"/>
      <w:marTop w:val="0"/>
      <w:marBottom w:val="0"/>
      <w:divBdr>
        <w:top w:val="none" w:sz="0" w:space="0" w:color="auto"/>
        <w:left w:val="none" w:sz="0" w:space="0" w:color="auto"/>
        <w:bottom w:val="none" w:sz="0" w:space="0" w:color="auto"/>
        <w:right w:val="none" w:sz="0" w:space="0" w:color="auto"/>
      </w:divBdr>
      <w:divsChild>
        <w:div w:id="1143086219">
          <w:marLeft w:val="0"/>
          <w:marRight w:val="0"/>
          <w:marTop w:val="0"/>
          <w:marBottom w:val="0"/>
          <w:divBdr>
            <w:top w:val="none" w:sz="0" w:space="0" w:color="auto"/>
            <w:left w:val="none" w:sz="0" w:space="0" w:color="auto"/>
            <w:bottom w:val="none" w:sz="0" w:space="0" w:color="auto"/>
            <w:right w:val="none" w:sz="0" w:space="0" w:color="auto"/>
          </w:divBdr>
        </w:div>
      </w:divsChild>
    </w:div>
    <w:div w:id="612173877">
      <w:bodyDiv w:val="1"/>
      <w:marLeft w:val="0"/>
      <w:marRight w:val="0"/>
      <w:marTop w:val="0"/>
      <w:marBottom w:val="0"/>
      <w:divBdr>
        <w:top w:val="none" w:sz="0" w:space="0" w:color="auto"/>
        <w:left w:val="none" w:sz="0" w:space="0" w:color="auto"/>
        <w:bottom w:val="none" w:sz="0" w:space="0" w:color="auto"/>
        <w:right w:val="none" w:sz="0" w:space="0" w:color="auto"/>
      </w:divBdr>
      <w:divsChild>
        <w:div w:id="1472212602">
          <w:marLeft w:val="0"/>
          <w:marRight w:val="0"/>
          <w:marTop w:val="100"/>
          <w:marBottom w:val="100"/>
          <w:divBdr>
            <w:top w:val="none" w:sz="0" w:space="0" w:color="auto"/>
            <w:left w:val="none" w:sz="0" w:space="0" w:color="auto"/>
            <w:bottom w:val="none" w:sz="0" w:space="0" w:color="auto"/>
            <w:right w:val="none" w:sz="0" w:space="0" w:color="auto"/>
          </w:divBdr>
          <w:divsChild>
            <w:div w:id="2092657524">
              <w:marLeft w:val="0"/>
              <w:marRight w:val="0"/>
              <w:marTop w:val="0"/>
              <w:marBottom w:val="0"/>
              <w:divBdr>
                <w:top w:val="none" w:sz="0" w:space="0" w:color="auto"/>
                <w:left w:val="none" w:sz="0" w:space="0" w:color="auto"/>
                <w:bottom w:val="none" w:sz="0" w:space="0" w:color="auto"/>
                <w:right w:val="none" w:sz="0" w:space="0" w:color="auto"/>
              </w:divBdr>
              <w:divsChild>
                <w:div w:id="2118325940">
                  <w:marLeft w:val="0"/>
                  <w:marRight w:val="0"/>
                  <w:marTop w:val="0"/>
                  <w:marBottom w:val="0"/>
                  <w:divBdr>
                    <w:top w:val="none" w:sz="0" w:space="0" w:color="auto"/>
                    <w:left w:val="none" w:sz="0" w:space="0" w:color="auto"/>
                    <w:bottom w:val="none" w:sz="0" w:space="0" w:color="auto"/>
                    <w:right w:val="none" w:sz="0" w:space="0" w:color="auto"/>
                  </w:divBdr>
                  <w:divsChild>
                    <w:div w:id="1466317644">
                      <w:marLeft w:val="0"/>
                      <w:marRight w:val="0"/>
                      <w:marTop w:val="0"/>
                      <w:marBottom w:val="0"/>
                      <w:divBdr>
                        <w:top w:val="none" w:sz="0" w:space="0" w:color="auto"/>
                        <w:left w:val="none" w:sz="0" w:space="0" w:color="auto"/>
                        <w:bottom w:val="none" w:sz="0" w:space="0" w:color="auto"/>
                        <w:right w:val="none" w:sz="0" w:space="0" w:color="auto"/>
                      </w:divBdr>
                      <w:divsChild>
                        <w:div w:id="1801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772">
      <w:bodyDiv w:val="1"/>
      <w:marLeft w:val="0"/>
      <w:marRight w:val="0"/>
      <w:marTop w:val="0"/>
      <w:marBottom w:val="0"/>
      <w:divBdr>
        <w:top w:val="none" w:sz="0" w:space="0" w:color="auto"/>
        <w:left w:val="none" w:sz="0" w:space="0" w:color="auto"/>
        <w:bottom w:val="none" w:sz="0" w:space="0" w:color="auto"/>
        <w:right w:val="none" w:sz="0" w:space="0" w:color="auto"/>
      </w:divBdr>
      <w:divsChild>
        <w:div w:id="696930051">
          <w:marLeft w:val="0"/>
          <w:marRight w:val="0"/>
          <w:marTop w:val="100"/>
          <w:marBottom w:val="100"/>
          <w:divBdr>
            <w:top w:val="none" w:sz="0" w:space="0" w:color="auto"/>
            <w:left w:val="none" w:sz="0" w:space="0" w:color="auto"/>
            <w:bottom w:val="none" w:sz="0" w:space="0" w:color="auto"/>
            <w:right w:val="none" w:sz="0" w:space="0" w:color="auto"/>
          </w:divBdr>
          <w:divsChild>
            <w:div w:id="675962821">
              <w:marLeft w:val="0"/>
              <w:marRight w:val="0"/>
              <w:marTop w:val="0"/>
              <w:marBottom w:val="0"/>
              <w:divBdr>
                <w:top w:val="none" w:sz="0" w:space="0" w:color="auto"/>
                <w:left w:val="none" w:sz="0" w:space="0" w:color="auto"/>
                <w:bottom w:val="none" w:sz="0" w:space="0" w:color="auto"/>
                <w:right w:val="none" w:sz="0" w:space="0" w:color="auto"/>
              </w:divBdr>
              <w:divsChild>
                <w:div w:id="1321277669">
                  <w:marLeft w:val="0"/>
                  <w:marRight w:val="0"/>
                  <w:marTop w:val="0"/>
                  <w:marBottom w:val="0"/>
                  <w:divBdr>
                    <w:top w:val="none" w:sz="0" w:space="0" w:color="auto"/>
                    <w:left w:val="none" w:sz="0" w:space="0" w:color="auto"/>
                    <w:bottom w:val="none" w:sz="0" w:space="0" w:color="auto"/>
                    <w:right w:val="none" w:sz="0" w:space="0" w:color="auto"/>
                  </w:divBdr>
                  <w:divsChild>
                    <w:div w:id="1771660327">
                      <w:marLeft w:val="0"/>
                      <w:marRight w:val="0"/>
                      <w:marTop w:val="0"/>
                      <w:marBottom w:val="0"/>
                      <w:divBdr>
                        <w:top w:val="none" w:sz="0" w:space="0" w:color="auto"/>
                        <w:left w:val="none" w:sz="0" w:space="0" w:color="auto"/>
                        <w:bottom w:val="none" w:sz="0" w:space="0" w:color="auto"/>
                        <w:right w:val="none" w:sz="0" w:space="0" w:color="auto"/>
                      </w:divBdr>
                      <w:divsChild>
                        <w:div w:id="5091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82648">
      <w:bodyDiv w:val="1"/>
      <w:marLeft w:val="0"/>
      <w:marRight w:val="0"/>
      <w:marTop w:val="0"/>
      <w:marBottom w:val="0"/>
      <w:divBdr>
        <w:top w:val="none" w:sz="0" w:space="0" w:color="auto"/>
        <w:left w:val="none" w:sz="0" w:space="0" w:color="auto"/>
        <w:bottom w:val="none" w:sz="0" w:space="0" w:color="auto"/>
        <w:right w:val="none" w:sz="0" w:space="0" w:color="auto"/>
      </w:divBdr>
    </w:div>
    <w:div w:id="1104306122">
      <w:bodyDiv w:val="1"/>
      <w:marLeft w:val="0"/>
      <w:marRight w:val="0"/>
      <w:marTop w:val="0"/>
      <w:marBottom w:val="0"/>
      <w:divBdr>
        <w:top w:val="none" w:sz="0" w:space="0" w:color="auto"/>
        <w:left w:val="none" w:sz="0" w:space="0" w:color="auto"/>
        <w:bottom w:val="none" w:sz="0" w:space="0" w:color="auto"/>
        <w:right w:val="none" w:sz="0" w:space="0" w:color="auto"/>
      </w:divBdr>
      <w:divsChild>
        <w:div w:id="926615964">
          <w:marLeft w:val="0"/>
          <w:marRight w:val="0"/>
          <w:marTop w:val="100"/>
          <w:marBottom w:val="100"/>
          <w:divBdr>
            <w:top w:val="none" w:sz="0" w:space="0" w:color="auto"/>
            <w:left w:val="none" w:sz="0" w:space="0" w:color="auto"/>
            <w:bottom w:val="none" w:sz="0" w:space="0" w:color="auto"/>
            <w:right w:val="none" w:sz="0" w:space="0" w:color="auto"/>
          </w:divBdr>
          <w:divsChild>
            <w:div w:id="1625424474">
              <w:marLeft w:val="0"/>
              <w:marRight w:val="0"/>
              <w:marTop w:val="0"/>
              <w:marBottom w:val="0"/>
              <w:divBdr>
                <w:top w:val="none" w:sz="0" w:space="0" w:color="auto"/>
                <w:left w:val="none" w:sz="0" w:space="0" w:color="auto"/>
                <w:bottom w:val="none" w:sz="0" w:space="0" w:color="auto"/>
                <w:right w:val="none" w:sz="0" w:space="0" w:color="auto"/>
              </w:divBdr>
              <w:divsChild>
                <w:div w:id="1085953606">
                  <w:marLeft w:val="0"/>
                  <w:marRight w:val="0"/>
                  <w:marTop w:val="0"/>
                  <w:marBottom w:val="0"/>
                  <w:divBdr>
                    <w:top w:val="none" w:sz="0" w:space="0" w:color="auto"/>
                    <w:left w:val="none" w:sz="0" w:space="0" w:color="auto"/>
                    <w:bottom w:val="none" w:sz="0" w:space="0" w:color="auto"/>
                    <w:right w:val="none" w:sz="0" w:space="0" w:color="auto"/>
                  </w:divBdr>
                  <w:divsChild>
                    <w:div w:id="1458259414">
                      <w:marLeft w:val="0"/>
                      <w:marRight w:val="0"/>
                      <w:marTop w:val="0"/>
                      <w:marBottom w:val="0"/>
                      <w:divBdr>
                        <w:top w:val="none" w:sz="0" w:space="0" w:color="auto"/>
                        <w:left w:val="none" w:sz="0" w:space="0" w:color="auto"/>
                        <w:bottom w:val="none" w:sz="0" w:space="0" w:color="auto"/>
                        <w:right w:val="none" w:sz="0" w:space="0" w:color="auto"/>
                      </w:divBdr>
                      <w:divsChild>
                        <w:div w:id="247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4680">
      <w:bodyDiv w:val="1"/>
      <w:marLeft w:val="0"/>
      <w:marRight w:val="0"/>
      <w:marTop w:val="0"/>
      <w:marBottom w:val="0"/>
      <w:divBdr>
        <w:top w:val="none" w:sz="0" w:space="0" w:color="auto"/>
        <w:left w:val="none" w:sz="0" w:space="0" w:color="auto"/>
        <w:bottom w:val="none" w:sz="0" w:space="0" w:color="auto"/>
        <w:right w:val="none" w:sz="0" w:space="0" w:color="auto"/>
      </w:divBdr>
    </w:div>
    <w:div w:id="1643150921">
      <w:bodyDiv w:val="1"/>
      <w:marLeft w:val="0"/>
      <w:marRight w:val="0"/>
      <w:marTop w:val="0"/>
      <w:marBottom w:val="0"/>
      <w:divBdr>
        <w:top w:val="none" w:sz="0" w:space="0" w:color="auto"/>
        <w:left w:val="none" w:sz="0" w:space="0" w:color="auto"/>
        <w:bottom w:val="none" w:sz="0" w:space="0" w:color="auto"/>
        <w:right w:val="none" w:sz="0" w:space="0" w:color="auto"/>
      </w:divBdr>
    </w:div>
    <w:div w:id="2132698561">
      <w:bodyDiv w:val="1"/>
      <w:marLeft w:val="0"/>
      <w:marRight w:val="0"/>
      <w:marTop w:val="0"/>
      <w:marBottom w:val="0"/>
      <w:divBdr>
        <w:top w:val="none" w:sz="0" w:space="0" w:color="auto"/>
        <w:left w:val="none" w:sz="0" w:space="0" w:color="auto"/>
        <w:bottom w:val="none" w:sz="0" w:space="0" w:color="auto"/>
        <w:right w:val="none" w:sz="0" w:space="0" w:color="auto"/>
      </w:divBdr>
      <w:divsChild>
        <w:div w:id="1127815680">
          <w:marLeft w:val="0"/>
          <w:marRight w:val="0"/>
          <w:marTop w:val="100"/>
          <w:marBottom w:val="100"/>
          <w:divBdr>
            <w:top w:val="none" w:sz="0" w:space="0" w:color="auto"/>
            <w:left w:val="none" w:sz="0" w:space="0" w:color="auto"/>
            <w:bottom w:val="none" w:sz="0" w:space="0" w:color="auto"/>
            <w:right w:val="none" w:sz="0" w:space="0" w:color="auto"/>
          </w:divBdr>
          <w:divsChild>
            <w:div w:id="1991975620">
              <w:marLeft w:val="0"/>
              <w:marRight w:val="0"/>
              <w:marTop w:val="0"/>
              <w:marBottom w:val="0"/>
              <w:divBdr>
                <w:top w:val="none" w:sz="0" w:space="0" w:color="auto"/>
                <w:left w:val="none" w:sz="0" w:space="0" w:color="auto"/>
                <w:bottom w:val="none" w:sz="0" w:space="0" w:color="auto"/>
                <w:right w:val="none" w:sz="0" w:space="0" w:color="auto"/>
              </w:divBdr>
              <w:divsChild>
                <w:div w:id="1132213338">
                  <w:marLeft w:val="0"/>
                  <w:marRight w:val="0"/>
                  <w:marTop w:val="0"/>
                  <w:marBottom w:val="0"/>
                  <w:divBdr>
                    <w:top w:val="none" w:sz="0" w:space="0" w:color="auto"/>
                    <w:left w:val="none" w:sz="0" w:space="0" w:color="auto"/>
                    <w:bottom w:val="none" w:sz="0" w:space="0" w:color="auto"/>
                    <w:right w:val="none" w:sz="0" w:space="0" w:color="auto"/>
                  </w:divBdr>
                  <w:divsChild>
                    <w:div w:id="1655597675">
                      <w:marLeft w:val="0"/>
                      <w:marRight w:val="0"/>
                      <w:marTop w:val="0"/>
                      <w:marBottom w:val="0"/>
                      <w:divBdr>
                        <w:top w:val="none" w:sz="0" w:space="0" w:color="auto"/>
                        <w:left w:val="none" w:sz="0" w:space="0" w:color="auto"/>
                        <w:bottom w:val="none" w:sz="0" w:space="0" w:color="auto"/>
                        <w:right w:val="none" w:sz="0" w:space="0" w:color="auto"/>
                      </w:divBdr>
                      <w:divsChild>
                        <w:div w:id="8315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BC1D-8A29-4ABB-B035-7A2DC8F0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Amsel</dc:creator>
  <cp:lastModifiedBy>Tiny</cp:lastModifiedBy>
  <cp:revision>2</cp:revision>
  <cp:lastPrinted>2013-03-20T19:31:00Z</cp:lastPrinted>
  <dcterms:created xsi:type="dcterms:W3CDTF">2013-04-04T02:18:00Z</dcterms:created>
  <dcterms:modified xsi:type="dcterms:W3CDTF">2013-04-04T02:18:00Z</dcterms:modified>
</cp:coreProperties>
</file>