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62239D" w:rsidRDefault="00F626D2" w:rsidP="00B325B2">
      <w:pPr>
        <w:pStyle w:val="msonormal21"/>
        <w:ind w:left="0" w:firstLine="0"/>
        <w:jc w:val="center"/>
        <w:rPr>
          <w:rFonts w:ascii="Times New Roman" w:hAnsi="Times New Roman" w:cs="Times New Roman"/>
        </w:rPr>
      </w:pPr>
      <w:r w:rsidRPr="00404125">
        <w:rPr>
          <w:rFonts w:ascii="Times New Roman" w:hAnsi="Times New Roman" w:cs="Times New Roman"/>
          <w:lang w:val="en-CA"/>
        </w:rPr>
        <w:fldChar w:fldCharType="begin"/>
      </w:r>
      <w:r w:rsidR="0062239D" w:rsidRPr="00404125">
        <w:rPr>
          <w:rFonts w:ascii="Times New Roman" w:hAnsi="Times New Roman" w:cs="Times New Roman"/>
          <w:lang w:val="en-CA"/>
        </w:rPr>
        <w:instrText xml:space="preserve"> SEQ CHAPTER \h \r 1</w:instrText>
      </w:r>
      <w:r w:rsidRPr="00404125">
        <w:rPr>
          <w:rFonts w:ascii="Times New Roman" w:hAnsi="Times New Roman" w:cs="Times New Roman"/>
          <w:lang w:val="en-CA"/>
        </w:rPr>
        <w:fldChar w:fldCharType="end"/>
      </w:r>
      <w:r w:rsidR="0062239D" w:rsidRPr="00404125">
        <w:rPr>
          <w:rFonts w:ascii="Times New Roman" w:hAnsi="Times New Roman" w:cs="Times New Roman"/>
        </w:rPr>
        <w:t>WEBER STATE UNIVERSITY</w:t>
      </w:r>
    </w:p>
    <w:p w:rsidR="0062239D" w:rsidRPr="00404125" w:rsidRDefault="0062239D" w:rsidP="00B9281D">
      <w:pPr>
        <w:pStyle w:val="msonormal21"/>
        <w:jc w:val="center"/>
        <w:rPr>
          <w:rFonts w:ascii="Times New Roman" w:hAnsi="Times New Roman" w:cs="Times New Roman"/>
        </w:rPr>
      </w:pPr>
      <w:r w:rsidRPr="00404125">
        <w:rPr>
          <w:rFonts w:ascii="Times New Roman" w:hAnsi="Times New Roman" w:cs="Times New Roman"/>
        </w:rPr>
        <w:t>SCHOOL OF NURSING</w:t>
      </w:r>
    </w:p>
    <w:p w:rsidR="0062239D" w:rsidRPr="00404125" w:rsidRDefault="0062239D" w:rsidP="002C2EE3">
      <w:pPr>
        <w:jc w:val="center"/>
      </w:pPr>
      <w:r>
        <w:t>COURSE SYLLABUS 20</w:t>
      </w:r>
      <w:r w:rsidR="004406EC">
        <w:t>15-2016</w:t>
      </w:r>
    </w:p>
    <w:p w:rsidR="0062239D" w:rsidRPr="00404125" w:rsidRDefault="00D11D79" w:rsidP="00B9281D">
      <w:pPr>
        <w:jc w:val="center"/>
        <w:rPr>
          <w:b/>
          <w:bCs/>
        </w:rPr>
      </w:pPr>
      <w:r w:rsidRPr="00D11D79">
        <w:rPr>
          <w:b/>
          <w:bCs/>
        </w:rPr>
        <w:t xml:space="preserve">Nursing 2100 </w:t>
      </w:r>
      <w:r>
        <w:rPr>
          <w:b/>
          <w:bCs/>
        </w:rPr>
        <w:t>- Pharmacology for N</w:t>
      </w:r>
      <w:r w:rsidRPr="00D11D79">
        <w:rPr>
          <w:b/>
          <w:bCs/>
        </w:rPr>
        <w:t>urses</w:t>
      </w:r>
    </w:p>
    <w:p w:rsidR="0062239D" w:rsidRPr="00404125" w:rsidRDefault="0062239D" w:rsidP="00B9281D">
      <w:pPr>
        <w:jc w:val="center"/>
        <w:rPr>
          <w:color w:val="000000"/>
        </w:rPr>
      </w:pPr>
    </w:p>
    <w:p w:rsidR="0062239D" w:rsidRPr="00404125" w:rsidRDefault="0062239D" w:rsidP="00D51397">
      <w:pPr>
        <w:numPr>
          <w:ilvl w:val="0"/>
          <w:numId w:val="1"/>
        </w:numPr>
        <w:tabs>
          <w:tab w:val="left" w:pos="720"/>
        </w:tabs>
        <w:rPr>
          <w:color w:val="000000"/>
        </w:rPr>
      </w:pPr>
      <w:r>
        <w:rPr>
          <w:b/>
          <w:bCs/>
          <w:color w:val="000000"/>
        </w:rPr>
        <w:t>COURSE NUMBER AND NAME</w:t>
      </w:r>
      <w:r w:rsidRPr="00404125">
        <w:rPr>
          <w:b/>
          <w:bCs/>
          <w:color w:val="000000"/>
        </w:rPr>
        <w:t>:</w:t>
      </w:r>
    </w:p>
    <w:p w:rsidR="00D11D79" w:rsidRDefault="00D11D79" w:rsidP="00686A37">
      <w:pPr>
        <w:tabs>
          <w:tab w:val="left" w:pos="0"/>
        </w:tabs>
        <w:ind w:left="720"/>
      </w:pPr>
      <w:r w:rsidRPr="00D11D79">
        <w:t xml:space="preserve">Nursing 2100 - Pharmacology for Nurses </w:t>
      </w:r>
    </w:p>
    <w:p w:rsidR="00D11D79" w:rsidRPr="00404125" w:rsidRDefault="00D11D79" w:rsidP="00D11D79">
      <w:pPr>
        <w:tabs>
          <w:tab w:val="left" w:pos="720"/>
        </w:tabs>
        <w:ind w:left="720"/>
        <w:rPr>
          <w:color w:val="000000"/>
        </w:rPr>
      </w:pPr>
    </w:p>
    <w:p w:rsidR="0062239D" w:rsidRPr="00404125" w:rsidRDefault="0062239D" w:rsidP="00D51397">
      <w:pPr>
        <w:numPr>
          <w:ilvl w:val="0"/>
          <w:numId w:val="1"/>
        </w:numPr>
        <w:tabs>
          <w:tab w:val="left" w:pos="720"/>
        </w:tabs>
        <w:ind w:left="720" w:hanging="720"/>
        <w:rPr>
          <w:b/>
          <w:bCs/>
          <w:color w:val="000000"/>
        </w:rPr>
      </w:pPr>
      <w:r w:rsidRPr="00404125">
        <w:rPr>
          <w:b/>
          <w:bCs/>
          <w:color w:val="000000"/>
        </w:rPr>
        <w:t>CREDIT AND CONTACT HOURS</w:t>
      </w:r>
      <w:r w:rsidRPr="00404125">
        <w:rPr>
          <w:color w:val="000000"/>
        </w:rPr>
        <w:t>:</w:t>
      </w:r>
    </w:p>
    <w:p w:rsidR="0062239D" w:rsidRPr="00404125" w:rsidRDefault="00D11D79" w:rsidP="001825CF">
      <w:pPr>
        <w:tabs>
          <w:tab w:val="left" w:pos="0"/>
        </w:tabs>
        <w:ind w:left="720"/>
      </w:pPr>
      <w:r>
        <w:t>Nursing 2100</w:t>
      </w:r>
      <w:r w:rsidR="0062239D" w:rsidRPr="00404125">
        <w:t xml:space="preserve"> - T</w:t>
      </w:r>
      <w:r>
        <w:t>hree</w:t>
      </w:r>
      <w:r w:rsidR="0062239D" w:rsidRPr="00404125">
        <w:t xml:space="preserve"> (</w:t>
      </w:r>
      <w:r>
        <w:t>3</w:t>
      </w:r>
      <w:r w:rsidR="0062239D" w:rsidRPr="00404125">
        <w:t xml:space="preserve">) credit hours. </w:t>
      </w:r>
      <w:r w:rsidRPr="00D11D79">
        <w:t xml:space="preserve">Three (3) </w:t>
      </w:r>
      <w:r w:rsidR="0062239D" w:rsidRPr="00404125">
        <w:t xml:space="preserve">contact hours per week. </w:t>
      </w:r>
    </w:p>
    <w:p w:rsidR="0062239D" w:rsidRPr="00404125" w:rsidRDefault="0062239D" w:rsidP="001825CF">
      <w:pPr>
        <w:tabs>
          <w:tab w:val="left" w:pos="720"/>
        </w:tabs>
        <w:ind w:left="720"/>
        <w:rPr>
          <w:b/>
          <w:bCs/>
          <w:color w:val="000000"/>
        </w:rPr>
      </w:pPr>
    </w:p>
    <w:p w:rsidR="0062239D" w:rsidRPr="00404125" w:rsidRDefault="0062239D" w:rsidP="00D51397">
      <w:pPr>
        <w:numPr>
          <w:ilvl w:val="0"/>
          <w:numId w:val="1"/>
        </w:numPr>
        <w:tabs>
          <w:tab w:val="left" w:pos="720"/>
        </w:tabs>
        <w:ind w:left="720" w:hanging="720"/>
        <w:rPr>
          <w:color w:val="000000"/>
        </w:rPr>
      </w:pPr>
      <w:r w:rsidRPr="00404125">
        <w:rPr>
          <w:b/>
          <w:bCs/>
          <w:color w:val="000000"/>
        </w:rPr>
        <w:t xml:space="preserve">COURSE DESCRIPTION: </w:t>
      </w:r>
    </w:p>
    <w:p w:rsidR="00D11D79" w:rsidRDefault="00D11D79" w:rsidP="00D11D79">
      <w:pPr>
        <w:tabs>
          <w:tab w:val="left" w:pos="720"/>
        </w:tabs>
        <w:ind w:left="720"/>
      </w:pPr>
      <w:r w:rsidRPr="00D11D79">
        <w:t>Basic pharmacological treatments used by the nurse to promote health across the lifespan.  Included in the course will be administering medications safely through various routes and specific agents that affect health and well</w:t>
      </w:r>
      <w:r w:rsidR="004572E1">
        <w:t>-</w:t>
      </w:r>
      <w:r w:rsidRPr="00D11D79">
        <w:t>being.</w:t>
      </w:r>
    </w:p>
    <w:p w:rsidR="00D11D79" w:rsidRPr="00D11D79" w:rsidRDefault="00D11D79" w:rsidP="00D11D79">
      <w:pPr>
        <w:tabs>
          <w:tab w:val="left" w:pos="720"/>
        </w:tabs>
        <w:ind w:left="720"/>
        <w:rPr>
          <w:b/>
          <w:bCs/>
          <w:color w:val="000000"/>
        </w:rPr>
      </w:pPr>
    </w:p>
    <w:p w:rsidR="0062239D" w:rsidRPr="00404125" w:rsidRDefault="0062239D" w:rsidP="00D51397">
      <w:pPr>
        <w:numPr>
          <w:ilvl w:val="0"/>
          <w:numId w:val="1"/>
        </w:numPr>
        <w:tabs>
          <w:tab w:val="left" w:pos="720"/>
        </w:tabs>
        <w:ind w:left="720" w:hanging="720"/>
        <w:rPr>
          <w:b/>
          <w:bCs/>
          <w:color w:val="000000"/>
        </w:rPr>
      </w:pPr>
      <w:r w:rsidRPr="00404125">
        <w:rPr>
          <w:b/>
          <w:bCs/>
          <w:color w:val="000000"/>
        </w:rPr>
        <w:t xml:space="preserve">COURSE OUTCOMES: </w:t>
      </w:r>
    </w:p>
    <w:p w:rsidR="00D11D79" w:rsidRPr="00D11D79" w:rsidRDefault="0062239D" w:rsidP="00D11D79">
      <w:pPr>
        <w:tabs>
          <w:tab w:val="left" w:pos="720"/>
        </w:tabs>
        <w:rPr>
          <w:rFonts w:eastAsia="Batang"/>
        </w:rPr>
      </w:pPr>
      <w:r w:rsidRPr="00404125">
        <w:rPr>
          <w:color w:val="000000"/>
        </w:rPr>
        <w:tab/>
      </w:r>
      <w:r w:rsidRPr="00D11D79">
        <w:rPr>
          <w:color w:val="000000"/>
        </w:rPr>
        <w:t>Upon completion of this course, the student will be able to:</w:t>
      </w:r>
      <w:r w:rsidR="00D11D79" w:rsidRPr="00D11D79">
        <w:t xml:space="preserve"> </w:t>
      </w:r>
    </w:p>
    <w:p w:rsidR="00D11D79" w:rsidRPr="00D11D79" w:rsidRDefault="008A74C2" w:rsidP="00213B6B">
      <w:pPr>
        <w:pStyle w:val="msonormal21"/>
        <w:numPr>
          <w:ilvl w:val="0"/>
          <w:numId w:val="2"/>
        </w:numPr>
        <w:rPr>
          <w:rFonts w:ascii="Times New Roman" w:hAnsi="Times New Roman"/>
        </w:rPr>
      </w:pPr>
      <w:r>
        <w:rPr>
          <w:rFonts w:ascii="Times New Roman" w:hAnsi="Times New Roman"/>
        </w:rPr>
        <w:t xml:space="preserve">Describe the foundational </w:t>
      </w:r>
      <w:r w:rsidR="00D11D79" w:rsidRPr="00D11D79">
        <w:rPr>
          <w:rFonts w:ascii="Times New Roman" w:hAnsi="Times New Roman"/>
        </w:rPr>
        <w:t xml:space="preserve">strategies for actively involving patients and families in enhancing therapeutic medication effectiveness and minimizing adverse effects as part of providing patient centered care. </w:t>
      </w:r>
    </w:p>
    <w:p w:rsidR="00D11D79" w:rsidRPr="00D11D79" w:rsidRDefault="00D11D79" w:rsidP="00D51397">
      <w:pPr>
        <w:pStyle w:val="msonormal21"/>
        <w:numPr>
          <w:ilvl w:val="0"/>
          <w:numId w:val="2"/>
        </w:numPr>
        <w:rPr>
          <w:rFonts w:ascii="Times New Roman" w:hAnsi="Times New Roman"/>
        </w:rPr>
      </w:pPr>
      <w:r w:rsidRPr="00D11D79">
        <w:rPr>
          <w:rFonts w:ascii="Times New Roman" w:hAnsi="Times New Roman"/>
        </w:rPr>
        <w:t>Review the interdisciplinary collaboration and team</w:t>
      </w:r>
      <w:r w:rsidR="00D51397">
        <w:rPr>
          <w:rFonts w:ascii="Times New Roman" w:hAnsi="Times New Roman"/>
        </w:rPr>
        <w:t xml:space="preserve"> </w:t>
      </w:r>
      <w:r w:rsidRPr="00D11D79">
        <w:rPr>
          <w:rFonts w:ascii="Times New Roman" w:hAnsi="Times New Roman"/>
        </w:rPr>
        <w:t xml:space="preserve">member roles essential to safe and efficient pharmacotherapy systems for medication orders, preparation, administration, and evaluation of the outcome of pharmacotherapy.   </w:t>
      </w:r>
    </w:p>
    <w:p w:rsidR="00C61C31" w:rsidRDefault="00D11D79" w:rsidP="00D51397">
      <w:pPr>
        <w:pStyle w:val="msonormal21"/>
        <w:numPr>
          <w:ilvl w:val="0"/>
          <w:numId w:val="2"/>
        </w:numPr>
        <w:rPr>
          <w:rFonts w:ascii="Times New Roman" w:hAnsi="Times New Roman"/>
        </w:rPr>
      </w:pPr>
      <w:r w:rsidRPr="00C61C31">
        <w:rPr>
          <w:rFonts w:ascii="Times New Roman" w:hAnsi="Times New Roman"/>
        </w:rPr>
        <w:t xml:space="preserve">Identify and use sources of best clinical evidence to support nursing practice in patient assessment, medication preparation, medication administration, and evaluation of effectiveness of pharmacotherapy. </w:t>
      </w:r>
    </w:p>
    <w:p w:rsidR="00D11D79" w:rsidRPr="00C61C31" w:rsidRDefault="00D11D79" w:rsidP="00D51397">
      <w:pPr>
        <w:pStyle w:val="msonormal21"/>
        <w:numPr>
          <w:ilvl w:val="0"/>
          <w:numId w:val="2"/>
        </w:numPr>
        <w:rPr>
          <w:rFonts w:ascii="Times New Roman" w:hAnsi="Times New Roman"/>
        </w:rPr>
      </w:pPr>
      <w:r w:rsidRPr="00C61C31">
        <w:rPr>
          <w:rFonts w:ascii="Times New Roman" w:hAnsi="Times New Roman"/>
        </w:rPr>
        <w:t xml:space="preserve">Explain the role of the nurse in the use of outcomes of medication therapy to revise and improve the pharmacotherapy plan for a patient.  </w:t>
      </w:r>
    </w:p>
    <w:p w:rsidR="00D11D79" w:rsidRPr="00D11D79" w:rsidRDefault="00D11D79" w:rsidP="00D51397">
      <w:pPr>
        <w:pStyle w:val="msonormal21"/>
        <w:numPr>
          <w:ilvl w:val="0"/>
          <w:numId w:val="2"/>
        </w:numPr>
        <w:rPr>
          <w:rFonts w:ascii="Times New Roman" w:hAnsi="Times New Roman"/>
        </w:rPr>
      </w:pPr>
      <w:r w:rsidRPr="00D11D79">
        <w:rPr>
          <w:rFonts w:ascii="Times New Roman" w:hAnsi="Times New Roman"/>
        </w:rPr>
        <w:t xml:space="preserve">Characterize application of national safety initiatives to the design of pharmacotherapy equipment and medication administration environments and processes which are designed to decrease or eliminate medication errors. </w:t>
      </w:r>
    </w:p>
    <w:p w:rsidR="0070286B" w:rsidRDefault="00D11D79" w:rsidP="00BD6888">
      <w:pPr>
        <w:pStyle w:val="msonormal21"/>
        <w:numPr>
          <w:ilvl w:val="0"/>
          <w:numId w:val="2"/>
        </w:numPr>
        <w:rPr>
          <w:rFonts w:ascii="Times New Roman" w:hAnsi="Times New Roman"/>
        </w:rPr>
      </w:pPr>
      <w:r w:rsidRPr="00D11D79">
        <w:rPr>
          <w:rFonts w:ascii="Times New Roman" w:hAnsi="Times New Roman"/>
        </w:rPr>
        <w:t xml:space="preserve">Explain how electronic medical records, electronic sources of health care information, and communication technology support safe pharmacotherapy.  </w:t>
      </w:r>
    </w:p>
    <w:p w:rsidR="00B34BB1" w:rsidRDefault="00B34BB1" w:rsidP="00B34BB1"/>
    <w:p w:rsidR="00B34BB1" w:rsidRDefault="00B34BB1" w:rsidP="00B34BB1">
      <w:pPr>
        <w:numPr>
          <w:ilvl w:val="0"/>
          <w:numId w:val="1"/>
        </w:numPr>
        <w:rPr>
          <w:b/>
        </w:rPr>
      </w:pPr>
      <w:r>
        <w:rPr>
          <w:b/>
        </w:rPr>
        <w:t>COURSE CONCEPTS:</w:t>
      </w:r>
    </w:p>
    <w:p w:rsidR="00B34BB1" w:rsidRPr="002D35EC" w:rsidRDefault="002D35EC" w:rsidP="002D35EC">
      <w:pPr>
        <w:ind w:left="720"/>
      </w:pPr>
      <w:r>
        <w:t xml:space="preserve">Safety, Legal Issues, Metabolism, Elimination, Assessment, Caring Interventions, Clinical Decision Making, Patient-centered Care, Teaching and Learning, Peripheral Nerve Regulation, </w:t>
      </w:r>
      <w:r w:rsidR="009A7247">
        <w:t>Comfort, Inflammation, Thermoregulation, Intracranial Regulation, Cognition, Mobility, Perfusion, Fluid &amp; Electrolytes, Oxygenation, Nutrition, Elimination, Reproduction, Sexuality, and Infection</w:t>
      </w:r>
    </w:p>
    <w:p w:rsidR="0062239D" w:rsidRPr="00404125" w:rsidRDefault="0062239D" w:rsidP="00D11D79">
      <w:pPr>
        <w:pStyle w:val="msonormal21"/>
        <w:ind w:left="1440" w:firstLine="0"/>
        <w:rPr>
          <w:rFonts w:ascii="Times New Roman" w:hAnsi="Times New Roman" w:cs="Times New Roman"/>
          <w:color w:val="000000"/>
        </w:rPr>
      </w:pPr>
      <w:r w:rsidRPr="00404125">
        <w:rPr>
          <w:rFonts w:ascii="Times New Roman" w:hAnsi="Times New Roman" w:cs="Times New Roman"/>
          <w:color w:val="000000"/>
        </w:rPr>
        <w:t xml:space="preserve"> </w:t>
      </w:r>
    </w:p>
    <w:p w:rsidR="008038BA" w:rsidRPr="008038BA" w:rsidRDefault="00B34BB1" w:rsidP="008038BA">
      <w:pPr>
        <w:rPr>
          <w:rFonts w:eastAsia="Batang"/>
          <w:b/>
          <w:bCs/>
        </w:rPr>
      </w:pPr>
      <w:r>
        <w:rPr>
          <w:rFonts w:eastAsia="Batang"/>
          <w:b/>
          <w:bCs/>
        </w:rPr>
        <w:t>F</w:t>
      </w:r>
      <w:r w:rsidR="008038BA" w:rsidRPr="00680981">
        <w:rPr>
          <w:rFonts w:eastAsia="Batang"/>
          <w:b/>
          <w:bCs/>
        </w:rPr>
        <w:t>.</w:t>
      </w:r>
      <w:r w:rsidR="008038BA" w:rsidRPr="008038BA">
        <w:rPr>
          <w:rFonts w:eastAsia="Batang"/>
          <w:b/>
          <w:bCs/>
        </w:rPr>
        <w:tab/>
        <w:t xml:space="preserve">TEACHING STRATEGIES: </w:t>
      </w:r>
    </w:p>
    <w:p w:rsidR="008038BA" w:rsidRPr="008038BA" w:rsidRDefault="008038BA" w:rsidP="008038BA">
      <w:pPr>
        <w:ind w:left="720"/>
        <w:rPr>
          <w:rFonts w:eastAsia="Batang"/>
        </w:rPr>
      </w:pPr>
      <w:r w:rsidRPr="008038BA">
        <w:rPr>
          <w:rFonts w:eastAsia="Batang"/>
        </w:rPr>
        <w:t>Teaching strategies are selected based on the method of delivery and may be site specific:</w:t>
      </w:r>
    </w:p>
    <w:p w:rsidR="008038BA" w:rsidRPr="008038BA" w:rsidRDefault="008038BA" w:rsidP="00D51397">
      <w:pPr>
        <w:numPr>
          <w:ilvl w:val="0"/>
          <w:numId w:val="3"/>
        </w:numPr>
        <w:rPr>
          <w:rFonts w:eastAsia="Batang"/>
        </w:rPr>
      </w:pPr>
      <w:r w:rsidRPr="008038BA">
        <w:rPr>
          <w:rFonts w:eastAsia="Batang"/>
        </w:rPr>
        <w:t>Selected Readings</w:t>
      </w:r>
    </w:p>
    <w:p w:rsidR="008038BA" w:rsidRPr="008038BA" w:rsidRDefault="008038BA" w:rsidP="00D51397">
      <w:pPr>
        <w:numPr>
          <w:ilvl w:val="0"/>
          <w:numId w:val="3"/>
        </w:numPr>
        <w:rPr>
          <w:rFonts w:eastAsia="Batang"/>
        </w:rPr>
      </w:pPr>
      <w:r w:rsidRPr="008038BA">
        <w:rPr>
          <w:rFonts w:eastAsia="Batang"/>
        </w:rPr>
        <w:t>Lecture and structured presentations</w:t>
      </w:r>
    </w:p>
    <w:p w:rsidR="008038BA" w:rsidRPr="008038BA" w:rsidRDefault="008038BA" w:rsidP="00D51397">
      <w:pPr>
        <w:numPr>
          <w:ilvl w:val="0"/>
          <w:numId w:val="3"/>
        </w:numPr>
        <w:rPr>
          <w:rFonts w:eastAsia="Batang" w:cs="Arial"/>
        </w:rPr>
      </w:pPr>
      <w:r w:rsidRPr="008038BA">
        <w:rPr>
          <w:rFonts w:eastAsia="Batang"/>
        </w:rPr>
        <w:lastRenderedPageBreak/>
        <w:t>Focused discussions</w:t>
      </w:r>
    </w:p>
    <w:p w:rsidR="008038BA" w:rsidRPr="008038BA" w:rsidRDefault="008038BA" w:rsidP="00D51397">
      <w:pPr>
        <w:numPr>
          <w:ilvl w:val="0"/>
          <w:numId w:val="3"/>
        </w:numPr>
        <w:rPr>
          <w:rFonts w:eastAsia="Batang"/>
        </w:rPr>
      </w:pPr>
      <w:r w:rsidRPr="008038BA">
        <w:rPr>
          <w:rFonts w:eastAsia="Batang"/>
        </w:rPr>
        <w:t>Written assignments</w:t>
      </w:r>
    </w:p>
    <w:p w:rsidR="008038BA" w:rsidRPr="008038BA" w:rsidRDefault="008038BA" w:rsidP="00D51397">
      <w:pPr>
        <w:numPr>
          <w:ilvl w:val="0"/>
          <w:numId w:val="3"/>
        </w:numPr>
        <w:rPr>
          <w:rFonts w:eastAsia="Batang" w:cs="Arial"/>
        </w:rPr>
      </w:pPr>
      <w:r w:rsidRPr="008038BA">
        <w:rPr>
          <w:rFonts w:eastAsia="Batang"/>
        </w:rPr>
        <w:t>Collaborative learning activities</w:t>
      </w:r>
    </w:p>
    <w:p w:rsidR="008038BA" w:rsidRPr="00A652C5" w:rsidRDefault="00CA291F" w:rsidP="00A652C5">
      <w:pPr>
        <w:numPr>
          <w:ilvl w:val="0"/>
          <w:numId w:val="3"/>
        </w:numPr>
        <w:rPr>
          <w:rFonts w:eastAsia="Batang" w:cs="Arial"/>
        </w:rPr>
      </w:pPr>
      <w:r>
        <w:rPr>
          <w:rFonts w:eastAsia="Batang"/>
        </w:rPr>
        <w:t xml:space="preserve">Videos, </w:t>
      </w:r>
      <w:r w:rsidR="008038BA" w:rsidRPr="008038BA">
        <w:rPr>
          <w:rFonts w:eastAsia="Batang"/>
        </w:rPr>
        <w:t>computer based learning tools</w:t>
      </w:r>
      <w:r>
        <w:rPr>
          <w:rFonts w:eastAsia="Batang"/>
        </w:rPr>
        <w:t>, w</w:t>
      </w:r>
      <w:r w:rsidRPr="008038BA">
        <w:rPr>
          <w:rFonts w:eastAsia="Batang"/>
        </w:rPr>
        <w:t>eb sites</w:t>
      </w:r>
      <w:r>
        <w:rPr>
          <w:rFonts w:eastAsia="Batang"/>
        </w:rPr>
        <w:t>,</w:t>
      </w:r>
      <w:r w:rsidRPr="008038BA">
        <w:rPr>
          <w:rFonts w:eastAsia="Batang"/>
        </w:rPr>
        <w:t xml:space="preserve"> and web accessible learning tools</w:t>
      </w:r>
    </w:p>
    <w:p w:rsidR="008038BA" w:rsidRPr="005930CE" w:rsidRDefault="008038BA" w:rsidP="00D51397">
      <w:pPr>
        <w:numPr>
          <w:ilvl w:val="0"/>
          <w:numId w:val="3"/>
        </w:numPr>
        <w:rPr>
          <w:rFonts w:eastAsia="Batang" w:cs="Arial"/>
        </w:rPr>
      </w:pPr>
      <w:r>
        <w:rPr>
          <w:rFonts w:eastAsia="Batang"/>
        </w:rPr>
        <w:t>Case presentations</w:t>
      </w:r>
    </w:p>
    <w:p w:rsidR="00680981" w:rsidRPr="00F027C4" w:rsidRDefault="005930CE" w:rsidP="008038BA">
      <w:pPr>
        <w:numPr>
          <w:ilvl w:val="0"/>
          <w:numId w:val="3"/>
        </w:numPr>
        <w:rPr>
          <w:rFonts w:eastAsia="Batang" w:cs="Arial"/>
        </w:rPr>
      </w:pPr>
      <w:r>
        <w:rPr>
          <w:rFonts w:eastAsia="Batang"/>
        </w:rPr>
        <w:t>Clicker quizzes</w:t>
      </w:r>
    </w:p>
    <w:p w:rsidR="00185308" w:rsidRPr="008038BA" w:rsidRDefault="00185308" w:rsidP="008038BA">
      <w:pPr>
        <w:rPr>
          <w:rFonts w:eastAsia="Batang" w:cs="Arial"/>
        </w:rPr>
      </w:pPr>
    </w:p>
    <w:p w:rsidR="008038BA" w:rsidRPr="008038BA" w:rsidRDefault="00B34BB1" w:rsidP="008038BA">
      <w:pPr>
        <w:rPr>
          <w:rFonts w:eastAsia="Batang"/>
          <w:b/>
          <w:bCs/>
        </w:rPr>
      </w:pPr>
      <w:r>
        <w:rPr>
          <w:rFonts w:eastAsia="Batang"/>
          <w:b/>
          <w:bCs/>
        </w:rPr>
        <w:t>G</w:t>
      </w:r>
      <w:r w:rsidR="008038BA" w:rsidRPr="008038BA">
        <w:rPr>
          <w:rFonts w:eastAsia="Batang"/>
          <w:b/>
          <w:bCs/>
        </w:rPr>
        <w:t>.</w:t>
      </w:r>
      <w:r w:rsidR="008038BA" w:rsidRPr="008038BA">
        <w:rPr>
          <w:rFonts w:eastAsia="Batang"/>
          <w:b/>
          <w:bCs/>
        </w:rPr>
        <w:tab/>
        <w:t>METHODS OF EVALUATION:</w:t>
      </w:r>
    </w:p>
    <w:p w:rsidR="008038BA" w:rsidRPr="008038BA" w:rsidRDefault="008038BA" w:rsidP="008038BA">
      <w:pPr>
        <w:rPr>
          <w:rFonts w:eastAsia="Batang"/>
        </w:rPr>
      </w:pPr>
      <w:r w:rsidRPr="008038BA">
        <w:rPr>
          <w:rFonts w:eastAsia="Batang" w:cs="Arial"/>
        </w:rPr>
        <w:tab/>
      </w:r>
      <w:r w:rsidRPr="008038BA">
        <w:rPr>
          <w:rFonts w:eastAsia="Batang"/>
        </w:rPr>
        <w:t>Methods of evaluation include any or all of the following:</w:t>
      </w:r>
    </w:p>
    <w:p w:rsidR="008038BA" w:rsidRPr="008038BA" w:rsidRDefault="0008505C" w:rsidP="00D51397">
      <w:pPr>
        <w:numPr>
          <w:ilvl w:val="0"/>
          <w:numId w:val="4"/>
        </w:numPr>
        <w:rPr>
          <w:rFonts w:eastAsia="Batang"/>
        </w:rPr>
      </w:pPr>
      <w:r>
        <w:rPr>
          <w:rFonts w:eastAsia="Batang"/>
        </w:rPr>
        <w:t>E</w:t>
      </w:r>
      <w:r w:rsidR="008038BA" w:rsidRPr="008038BA">
        <w:rPr>
          <w:rFonts w:eastAsia="Batang"/>
        </w:rPr>
        <w:t>xaminations</w:t>
      </w:r>
    </w:p>
    <w:p w:rsidR="008038BA" w:rsidRPr="008038BA" w:rsidRDefault="008038BA" w:rsidP="00D51397">
      <w:pPr>
        <w:numPr>
          <w:ilvl w:val="0"/>
          <w:numId w:val="4"/>
        </w:numPr>
        <w:rPr>
          <w:rFonts w:eastAsia="Batang"/>
        </w:rPr>
      </w:pPr>
      <w:r w:rsidRPr="008038BA">
        <w:rPr>
          <w:rFonts w:eastAsia="Batang"/>
        </w:rPr>
        <w:t>Class participation</w:t>
      </w:r>
    </w:p>
    <w:p w:rsidR="008038BA" w:rsidRDefault="008038BA" w:rsidP="00D51397">
      <w:pPr>
        <w:numPr>
          <w:ilvl w:val="0"/>
          <w:numId w:val="4"/>
        </w:numPr>
        <w:rPr>
          <w:rFonts w:eastAsia="Batang"/>
        </w:rPr>
      </w:pPr>
      <w:r w:rsidRPr="008038BA">
        <w:rPr>
          <w:rFonts w:eastAsia="Batang"/>
        </w:rPr>
        <w:t>Written assignments</w:t>
      </w:r>
    </w:p>
    <w:p w:rsidR="008038BA" w:rsidRPr="00A76554" w:rsidRDefault="008038BA" w:rsidP="00A76554">
      <w:pPr>
        <w:numPr>
          <w:ilvl w:val="0"/>
          <w:numId w:val="4"/>
        </w:numPr>
        <w:rPr>
          <w:rFonts w:eastAsia="Batang"/>
        </w:rPr>
      </w:pPr>
      <w:r>
        <w:rPr>
          <w:rFonts w:eastAsia="Batang"/>
        </w:rPr>
        <w:t>Case presentations</w:t>
      </w:r>
      <w:r w:rsidR="00A76554">
        <w:rPr>
          <w:rFonts w:eastAsia="Batang"/>
        </w:rPr>
        <w:t>, r</w:t>
      </w:r>
      <w:r w:rsidR="00A76554" w:rsidRPr="008038BA">
        <w:rPr>
          <w:rFonts w:eastAsia="Batang"/>
        </w:rPr>
        <w:t>esp</w:t>
      </w:r>
      <w:r w:rsidR="00A76554">
        <w:rPr>
          <w:rFonts w:eastAsia="Batang"/>
        </w:rPr>
        <w:t>onses to structured discussion, or</w:t>
      </w:r>
      <w:r w:rsidR="00A76554" w:rsidRPr="008038BA">
        <w:rPr>
          <w:rFonts w:eastAsia="Batang"/>
        </w:rPr>
        <w:t xml:space="preserve"> critical thinking exercises</w:t>
      </w:r>
    </w:p>
    <w:p w:rsidR="00A652C5" w:rsidRPr="008038BA" w:rsidRDefault="00A652C5" w:rsidP="00D51397">
      <w:pPr>
        <w:numPr>
          <w:ilvl w:val="0"/>
          <w:numId w:val="4"/>
        </w:numPr>
        <w:rPr>
          <w:rFonts w:eastAsia="Batang"/>
        </w:rPr>
      </w:pPr>
      <w:r>
        <w:rPr>
          <w:rFonts w:eastAsia="Batang"/>
        </w:rPr>
        <w:t>Clicker quizzes</w:t>
      </w:r>
    </w:p>
    <w:p w:rsidR="008038BA" w:rsidRPr="008038BA" w:rsidRDefault="008038BA" w:rsidP="008038BA">
      <w:pPr>
        <w:rPr>
          <w:rFonts w:eastAsia="Batang" w:cs="Arial"/>
        </w:rPr>
      </w:pPr>
    </w:p>
    <w:p w:rsidR="008038BA" w:rsidRPr="008038BA" w:rsidRDefault="008038BA" w:rsidP="008038BA">
      <w:pPr>
        <w:rPr>
          <w:rFonts w:eastAsia="Batang" w:cs="Arial"/>
        </w:rPr>
      </w:pPr>
      <w:r w:rsidRPr="008038BA">
        <w:rPr>
          <w:rFonts w:eastAsia="Batang"/>
        </w:rPr>
        <w:t>Grading Scale:</w:t>
      </w:r>
    </w:p>
    <w:p w:rsidR="008038BA" w:rsidRPr="008038BA" w:rsidRDefault="008038BA" w:rsidP="008038BA">
      <w:pPr>
        <w:ind w:left="720" w:hanging="720"/>
        <w:rPr>
          <w:rFonts w:eastAsia="Batang"/>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Look w:val="00A0" w:firstRow="1" w:lastRow="0" w:firstColumn="1" w:lastColumn="0" w:noHBand="0" w:noVBand="0"/>
      </w:tblPr>
      <w:tblGrid>
        <w:gridCol w:w="1728"/>
        <w:gridCol w:w="1620"/>
        <w:gridCol w:w="1710"/>
        <w:gridCol w:w="1620"/>
        <w:gridCol w:w="2160"/>
      </w:tblGrid>
      <w:tr w:rsidR="008038BA" w:rsidRPr="008038BA" w:rsidTr="008038BA">
        <w:tc>
          <w:tcPr>
            <w:tcW w:w="1728" w:type="dxa"/>
          </w:tcPr>
          <w:p w:rsidR="008038BA" w:rsidRPr="008038BA" w:rsidRDefault="008038BA" w:rsidP="008038BA">
            <w:pPr>
              <w:rPr>
                <w:rFonts w:eastAsia="Batang"/>
              </w:rPr>
            </w:pPr>
            <w:r w:rsidRPr="008038BA">
              <w:rPr>
                <w:rFonts w:eastAsia="Batang"/>
              </w:rPr>
              <w:t>100-95% = A</w:t>
            </w:r>
          </w:p>
        </w:tc>
        <w:tc>
          <w:tcPr>
            <w:tcW w:w="1620" w:type="dxa"/>
          </w:tcPr>
          <w:p w:rsidR="008038BA" w:rsidRPr="008038BA" w:rsidRDefault="008038BA" w:rsidP="008038BA">
            <w:pPr>
              <w:rPr>
                <w:rFonts w:eastAsia="Batang"/>
              </w:rPr>
            </w:pPr>
            <w:r w:rsidRPr="008038BA">
              <w:rPr>
                <w:rFonts w:eastAsia="Batang"/>
              </w:rPr>
              <w:t xml:space="preserve"> 89-87% = B+</w:t>
            </w:r>
          </w:p>
        </w:tc>
        <w:tc>
          <w:tcPr>
            <w:tcW w:w="1710" w:type="dxa"/>
          </w:tcPr>
          <w:p w:rsidR="008038BA" w:rsidRPr="008038BA" w:rsidRDefault="008038BA" w:rsidP="008038BA">
            <w:pPr>
              <w:rPr>
                <w:rFonts w:eastAsia="Batang"/>
              </w:rPr>
            </w:pPr>
            <w:r w:rsidRPr="008038BA">
              <w:rPr>
                <w:rFonts w:eastAsia="Batang"/>
              </w:rPr>
              <w:t xml:space="preserve"> 79-77% = C+</w:t>
            </w:r>
          </w:p>
        </w:tc>
        <w:tc>
          <w:tcPr>
            <w:tcW w:w="1620" w:type="dxa"/>
          </w:tcPr>
          <w:p w:rsidR="008038BA" w:rsidRPr="008038BA" w:rsidRDefault="008038BA" w:rsidP="008038BA">
            <w:pPr>
              <w:rPr>
                <w:rFonts w:eastAsia="Batang"/>
              </w:rPr>
            </w:pPr>
            <w:r w:rsidRPr="008038BA">
              <w:rPr>
                <w:rFonts w:eastAsia="Batang"/>
              </w:rPr>
              <w:t xml:space="preserve"> 69-67% = D+</w:t>
            </w:r>
          </w:p>
        </w:tc>
        <w:tc>
          <w:tcPr>
            <w:tcW w:w="2160" w:type="dxa"/>
          </w:tcPr>
          <w:p w:rsidR="008038BA" w:rsidRPr="008038BA" w:rsidRDefault="008038BA" w:rsidP="008038BA">
            <w:pPr>
              <w:rPr>
                <w:rFonts w:eastAsia="Batang"/>
              </w:rPr>
            </w:pPr>
            <w:r w:rsidRPr="008038BA">
              <w:rPr>
                <w:rFonts w:eastAsia="Batang"/>
              </w:rPr>
              <w:t xml:space="preserve"> 59% and below = E</w:t>
            </w:r>
          </w:p>
        </w:tc>
      </w:tr>
      <w:tr w:rsidR="008038BA" w:rsidRPr="008038BA" w:rsidTr="008038BA">
        <w:tc>
          <w:tcPr>
            <w:tcW w:w="1728" w:type="dxa"/>
          </w:tcPr>
          <w:p w:rsidR="008038BA" w:rsidRPr="008038BA" w:rsidRDefault="00175FC1" w:rsidP="008038BA">
            <w:pPr>
              <w:rPr>
                <w:rFonts w:eastAsia="Batang"/>
              </w:rPr>
            </w:pPr>
            <w:r>
              <w:rPr>
                <w:rFonts w:eastAsia="Batang"/>
              </w:rPr>
              <w:t xml:space="preserve"> 94-</w:t>
            </w:r>
            <w:r w:rsidR="008038BA" w:rsidRPr="008038BA">
              <w:rPr>
                <w:rFonts w:eastAsia="Batang"/>
              </w:rPr>
              <w:t>90%  = A-</w:t>
            </w:r>
          </w:p>
        </w:tc>
        <w:tc>
          <w:tcPr>
            <w:tcW w:w="1620" w:type="dxa"/>
          </w:tcPr>
          <w:p w:rsidR="008038BA" w:rsidRPr="008038BA" w:rsidRDefault="008038BA" w:rsidP="008038BA">
            <w:pPr>
              <w:rPr>
                <w:rFonts w:eastAsia="Batang"/>
              </w:rPr>
            </w:pPr>
            <w:r w:rsidRPr="008038BA">
              <w:rPr>
                <w:rFonts w:eastAsia="Batang"/>
              </w:rPr>
              <w:t xml:space="preserve"> 86-83%  = B</w:t>
            </w:r>
          </w:p>
        </w:tc>
        <w:tc>
          <w:tcPr>
            <w:tcW w:w="1710" w:type="dxa"/>
          </w:tcPr>
          <w:p w:rsidR="008038BA" w:rsidRPr="008038BA" w:rsidRDefault="008038BA" w:rsidP="008038BA">
            <w:pPr>
              <w:rPr>
                <w:rFonts w:eastAsia="Batang"/>
              </w:rPr>
            </w:pPr>
            <w:r w:rsidRPr="008038BA">
              <w:rPr>
                <w:rFonts w:eastAsia="Batang"/>
              </w:rPr>
              <w:t xml:space="preserve"> 76-73%  = C</w:t>
            </w:r>
          </w:p>
        </w:tc>
        <w:tc>
          <w:tcPr>
            <w:tcW w:w="1620" w:type="dxa"/>
          </w:tcPr>
          <w:p w:rsidR="008038BA" w:rsidRPr="008038BA" w:rsidRDefault="008038BA" w:rsidP="008038BA">
            <w:pPr>
              <w:rPr>
                <w:rFonts w:eastAsia="Batang"/>
              </w:rPr>
            </w:pPr>
            <w:r w:rsidRPr="008038BA">
              <w:rPr>
                <w:rFonts w:eastAsia="Batang"/>
              </w:rPr>
              <w:t xml:space="preserve"> 66-63%  = D</w:t>
            </w:r>
          </w:p>
        </w:tc>
        <w:tc>
          <w:tcPr>
            <w:tcW w:w="2160" w:type="dxa"/>
          </w:tcPr>
          <w:p w:rsidR="008038BA" w:rsidRPr="008038BA" w:rsidRDefault="008038BA" w:rsidP="008038BA">
            <w:pPr>
              <w:rPr>
                <w:rFonts w:eastAsia="Batang"/>
              </w:rPr>
            </w:pPr>
          </w:p>
        </w:tc>
      </w:tr>
      <w:tr w:rsidR="008038BA" w:rsidRPr="008038BA" w:rsidTr="008038BA">
        <w:tc>
          <w:tcPr>
            <w:tcW w:w="1728" w:type="dxa"/>
          </w:tcPr>
          <w:p w:rsidR="008038BA" w:rsidRPr="008038BA" w:rsidRDefault="008038BA" w:rsidP="008038BA">
            <w:pPr>
              <w:rPr>
                <w:rFonts w:eastAsia="Batang" w:cs="Arial"/>
              </w:rPr>
            </w:pPr>
          </w:p>
        </w:tc>
        <w:tc>
          <w:tcPr>
            <w:tcW w:w="1620" w:type="dxa"/>
          </w:tcPr>
          <w:p w:rsidR="008038BA" w:rsidRPr="008038BA" w:rsidRDefault="008038BA" w:rsidP="008038BA">
            <w:pPr>
              <w:rPr>
                <w:rFonts w:eastAsia="Batang"/>
              </w:rPr>
            </w:pPr>
            <w:r w:rsidRPr="008038BA">
              <w:rPr>
                <w:rFonts w:eastAsia="Batang"/>
              </w:rPr>
              <w:t xml:space="preserve"> 82-80%  = B-</w:t>
            </w:r>
          </w:p>
        </w:tc>
        <w:tc>
          <w:tcPr>
            <w:tcW w:w="1710" w:type="dxa"/>
          </w:tcPr>
          <w:p w:rsidR="008038BA" w:rsidRPr="008038BA" w:rsidRDefault="008038BA" w:rsidP="008038BA">
            <w:pPr>
              <w:rPr>
                <w:rFonts w:eastAsia="Batang"/>
              </w:rPr>
            </w:pPr>
            <w:r w:rsidRPr="008038BA">
              <w:rPr>
                <w:rFonts w:eastAsia="Batang"/>
              </w:rPr>
              <w:t xml:space="preserve"> 72-70%  = C-</w:t>
            </w:r>
          </w:p>
        </w:tc>
        <w:tc>
          <w:tcPr>
            <w:tcW w:w="1620" w:type="dxa"/>
          </w:tcPr>
          <w:p w:rsidR="008038BA" w:rsidRPr="008038BA" w:rsidRDefault="008038BA" w:rsidP="008038BA">
            <w:pPr>
              <w:rPr>
                <w:rFonts w:eastAsia="Batang"/>
              </w:rPr>
            </w:pPr>
            <w:r w:rsidRPr="008038BA">
              <w:rPr>
                <w:rFonts w:eastAsia="Batang"/>
              </w:rPr>
              <w:t xml:space="preserve"> 62-60%  = D-</w:t>
            </w:r>
          </w:p>
        </w:tc>
        <w:tc>
          <w:tcPr>
            <w:tcW w:w="2160" w:type="dxa"/>
          </w:tcPr>
          <w:p w:rsidR="008038BA" w:rsidRPr="008038BA" w:rsidRDefault="008038BA" w:rsidP="008038BA">
            <w:pPr>
              <w:rPr>
                <w:rFonts w:eastAsia="Batang"/>
              </w:rPr>
            </w:pPr>
          </w:p>
        </w:tc>
      </w:tr>
    </w:tbl>
    <w:p w:rsidR="008038BA" w:rsidRPr="008038BA" w:rsidRDefault="008038BA" w:rsidP="008038BA">
      <w:pPr>
        <w:ind w:left="720"/>
        <w:rPr>
          <w:rFonts w:eastAsia="Batang" w:cs="Arial"/>
        </w:rPr>
      </w:pPr>
    </w:p>
    <w:p w:rsidR="008038BA" w:rsidRPr="008038BA" w:rsidRDefault="008038BA" w:rsidP="008038BA">
      <w:pPr>
        <w:ind w:left="720"/>
        <w:rPr>
          <w:rFonts w:eastAsia="Batang"/>
        </w:rPr>
      </w:pPr>
      <w:r w:rsidRPr="008038BA">
        <w:rPr>
          <w:rFonts w:eastAsia="Batang"/>
        </w:rPr>
        <w:t>Students must have an 80% average in this course to pass the course and continue in the nursing program. (Refer to School of Nursing Student Handbook)</w:t>
      </w:r>
    </w:p>
    <w:p w:rsidR="0062239D" w:rsidRDefault="008038BA" w:rsidP="008038BA">
      <w:pPr>
        <w:ind w:left="720"/>
        <w:rPr>
          <w:rFonts w:eastAsia="Batang"/>
          <w:b/>
        </w:rPr>
      </w:pPr>
      <w:r w:rsidRPr="008038BA">
        <w:rPr>
          <w:rFonts w:eastAsia="Batang"/>
          <w:b/>
        </w:rPr>
        <w:t>To receive a grade, all course requirements must be met.</w:t>
      </w:r>
    </w:p>
    <w:p w:rsidR="00AA5558" w:rsidRDefault="00AA5558" w:rsidP="008038BA">
      <w:pPr>
        <w:ind w:left="720"/>
        <w:rPr>
          <w:rFonts w:eastAsia="Batang"/>
          <w:b/>
        </w:rPr>
      </w:pPr>
    </w:p>
    <w:p w:rsidR="00353990" w:rsidRPr="00353990" w:rsidRDefault="00AA5558" w:rsidP="00353990">
      <w:pPr>
        <w:ind w:left="720"/>
        <w:rPr>
          <w:b/>
          <w:bCs/>
          <w:color w:val="1A1A1A"/>
          <w:shd w:val="clear" w:color="auto" w:fill="FFFFFF"/>
        </w:rPr>
      </w:pPr>
      <w:r w:rsidRPr="00AA5558">
        <w:rPr>
          <w:b/>
          <w:bCs/>
          <w:color w:val="1A1A1A"/>
          <w:shd w:val="clear" w:color="auto" w:fill="FFFFFF"/>
        </w:rPr>
        <w:t>In accordance with the School of Nursing Student Handbook, a student must achieve at least an 80% average score on the combined unit-exam and final-exam test scores.</w:t>
      </w:r>
      <w:r w:rsidRPr="00AA5558">
        <w:rPr>
          <w:rStyle w:val="apple-converted-space"/>
          <w:rFonts w:eastAsia="Batang"/>
          <w:b/>
          <w:bCs/>
          <w:color w:val="1A1A1A"/>
          <w:shd w:val="clear" w:color="auto" w:fill="FFFFFF"/>
        </w:rPr>
        <w:t> </w:t>
      </w:r>
      <w:r w:rsidRPr="00AA5558">
        <w:rPr>
          <w:b/>
          <w:bCs/>
          <w:color w:val="1A1A1A"/>
          <w:shd w:val="clear" w:color="auto" w:fill="FFFFFF"/>
        </w:rPr>
        <w:t> Failure to achieve an average examination score of 80% or higher in a course at the conclusion of the semester will result in a failing course grade.</w:t>
      </w:r>
      <w:r w:rsidR="00353990" w:rsidRPr="00353990">
        <w:rPr>
          <w:rFonts w:ascii="Arial" w:hAnsi="Arial" w:cs="Arial"/>
          <w:color w:val="1A1A1A"/>
          <w:sz w:val="26"/>
          <w:szCs w:val="26"/>
          <w:shd w:val="clear" w:color="auto" w:fill="FFFFFF"/>
        </w:rPr>
        <w:t> </w:t>
      </w:r>
    </w:p>
    <w:p w:rsidR="00353990" w:rsidRDefault="00353990" w:rsidP="008038BA">
      <w:pPr>
        <w:ind w:left="720"/>
        <w:rPr>
          <w:rFonts w:ascii="Symbol" w:hAnsi="Symbol" w:cs="Arial"/>
          <w:color w:val="1A1A1A"/>
          <w:sz w:val="26"/>
          <w:szCs w:val="26"/>
          <w:shd w:val="clear" w:color="auto" w:fill="FFFFFF"/>
        </w:rPr>
      </w:pPr>
    </w:p>
    <w:p w:rsidR="00353990" w:rsidRPr="00353990" w:rsidRDefault="00353990" w:rsidP="00353990">
      <w:r w:rsidRPr="00353990">
        <w:t> </w:t>
      </w:r>
      <w:r>
        <w:tab/>
      </w:r>
      <w:r w:rsidRPr="00353990">
        <w:t>Rounding – Any grade below an 80% (79.5) will not be rounded.</w:t>
      </w:r>
    </w:p>
    <w:p w:rsidR="00353990" w:rsidRPr="00353990" w:rsidRDefault="00353990" w:rsidP="00353990">
      <w:r w:rsidRPr="00353990">
        <w:t>   </w:t>
      </w:r>
      <w:r>
        <w:t xml:space="preserve">         </w:t>
      </w:r>
      <w:r>
        <w:tab/>
      </w:r>
      <w:r w:rsidRPr="00353990">
        <w:t>All other grades will be rounded at 0.5 (i.e. 94.5 can be rounded to an A).</w:t>
      </w:r>
    </w:p>
    <w:p w:rsidR="004164A7" w:rsidRDefault="004164A7" w:rsidP="004164A7"/>
    <w:p w:rsidR="00353990" w:rsidRPr="00353990" w:rsidRDefault="00353990" w:rsidP="004164A7">
      <w:pPr>
        <w:ind w:left="720"/>
      </w:pPr>
      <w:r w:rsidRPr="00353990">
        <w:t>Evaluation Incentive – Each semester course and faculty evaluations will be available online in Chi Tester. Students who complete both course and faculty evaluations will receive a 1% completion incentive that will be added to their final grade. Any student who is at a failing grade during this time will not be allowed the 1% evaluation incentive.</w:t>
      </w:r>
    </w:p>
    <w:p w:rsidR="0062239D" w:rsidRPr="00404125" w:rsidRDefault="0062239D" w:rsidP="00B9281D">
      <w:pPr>
        <w:rPr>
          <w:color w:val="000000"/>
        </w:rPr>
      </w:pPr>
    </w:p>
    <w:p w:rsidR="00D11D79" w:rsidRDefault="00B34BB1" w:rsidP="00680981">
      <w:pPr>
        <w:tabs>
          <w:tab w:val="left" w:pos="720"/>
        </w:tabs>
        <w:rPr>
          <w:b/>
          <w:bCs/>
          <w:color w:val="000000"/>
        </w:rPr>
      </w:pPr>
      <w:r>
        <w:rPr>
          <w:b/>
          <w:bCs/>
          <w:color w:val="000000"/>
        </w:rPr>
        <w:t>H</w:t>
      </w:r>
      <w:r w:rsidR="00680981">
        <w:rPr>
          <w:b/>
          <w:bCs/>
          <w:color w:val="000000"/>
        </w:rPr>
        <w:t>.</w:t>
      </w:r>
      <w:r w:rsidR="00680981">
        <w:rPr>
          <w:b/>
          <w:bCs/>
          <w:color w:val="000000"/>
        </w:rPr>
        <w:tab/>
        <w:t xml:space="preserve"> </w:t>
      </w:r>
      <w:r w:rsidR="0062239D" w:rsidRPr="00404125">
        <w:rPr>
          <w:b/>
          <w:bCs/>
          <w:color w:val="000000"/>
        </w:rPr>
        <w:t>REQUIRED TEXT</w:t>
      </w:r>
      <w:r w:rsidR="0062239D">
        <w:rPr>
          <w:b/>
          <w:bCs/>
          <w:color w:val="000000"/>
        </w:rPr>
        <w:t>(</w:t>
      </w:r>
      <w:r w:rsidR="0062239D" w:rsidRPr="00404125">
        <w:rPr>
          <w:b/>
          <w:bCs/>
          <w:color w:val="000000"/>
        </w:rPr>
        <w:t>S</w:t>
      </w:r>
      <w:r w:rsidR="0062239D">
        <w:rPr>
          <w:b/>
          <w:bCs/>
          <w:color w:val="000000"/>
        </w:rPr>
        <w:t>)</w:t>
      </w:r>
      <w:r w:rsidR="0062239D" w:rsidRPr="00404125">
        <w:rPr>
          <w:b/>
          <w:bCs/>
          <w:color w:val="000000"/>
        </w:rPr>
        <w:t>:</w:t>
      </w:r>
    </w:p>
    <w:p w:rsidR="002D431C" w:rsidRDefault="002D431C" w:rsidP="002D431C">
      <w:pPr>
        <w:tabs>
          <w:tab w:val="left" w:pos="720"/>
        </w:tabs>
        <w:rPr>
          <w:b/>
          <w:bCs/>
          <w:color w:val="000000"/>
        </w:rPr>
      </w:pPr>
      <w:r>
        <w:rPr>
          <w:b/>
          <w:bCs/>
          <w:color w:val="000000"/>
        </w:rPr>
        <w:tab/>
      </w:r>
    </w:p>
    <w:p w:rsidR="00AB3C7B" w:rsidRDefault="00693F84" w:rsidP="00AB3C7B">
      <w:pPr>
        <w:tabs>
          <w:tab w:val="left" w:pos="720"/>
        </w:tabs>
        <w:ind w:left="720" w:hanging="720"/>
        <w:rPr>
          <w:bCs/>
          <w:color w:val="000000"/>
        </w:rPr>
      </w:pPr>
      <w:r>
        <w:rPr>
          <w:bCs/>
          <w:color w:val="000000"/>
        </w:rPr>
        <w:t>Adams</w:t>
      </w:r>
      <w:r w:rsidR="006B5DC5">
        <w:rPr>
          <w:bCs/>
          <w:color w:val="000000"/>
        </w:rPr>
        <w:t>, M. P</w:t>
      </w:r>
      <w:r w:rsidR="002D431C">
        <w:rPr>
          <w:bCs/>
          <w:color w:val="000000"/>
        </w:rPr>
        <w:t>.</w:t>
      </w:r>
      <w:r w:rsidR="006B5DC5">
        <w:rPr>
          <w:bCs/>
          <w:color w:val="000000"/>
        </w:rPr>
        <w:t>,</w:t>
      </w:r>
      <w:r w:rsidR="002D431C">
        <w:rPr>
          <w:bCs/>
          <w:color w:val="000000"/>
        </w:rPr>
        <w:t xml:space="preserve"> &amp; </w:t>
      </w:r>
      <w:r w:rsidR="003C3C94">
        <w:rPr>
          <w:bCs/>
          <w:color w:val="000000"/>
        </w:rPr>
        <w:t>Urban, C. Q</w:t>
      </w:r>
      <w:r w:rsidR="00DE3FC0">
        <w:rPr>
          <w:bCs/>
          <w:color w:val="000000"/>
        </w:rPr>
        <w:t>. (2016</w:t>
      </w:r>
      <w:r w:rsidR="002D431C">
        <w:rPr>
          <w:bCs/>
          <w:color w:val="000000"/>
        </w:rPr>
        <w:t xml:space="preserve">). </w:t>
      </w:r>
      <w:r w:rsidR="002D431C">
        <w:rPr>
          <w:bCs/>
          <w:i/>
          <w:color w:val="000000"/>
        </w:rPr>
        <w:t>Pharmacology: Connections to nursing practice</w:t>
      </w:r>
      <w:r w:rsidR="006B5DC5">
        <w:rPr>
          <w:bCs/>
          <w:color w:val="000000"/>
        </w:rPr>
        <w:t xml:space="preserve"> </w:t>
      </w:r>
      <w:r w:rsidR="00306A74">
        <w:rPr>
          <w:bCs/>
          <w:color w:val="000000"/>
        </w:rPr>
        <w:t>(</w:t>
      </w:r>
      <w:r w:rsidR="00DE3FC0">
        <w:rPr>
          <w:bCs/>
          <w:color w:val="000000"/>
        </w:rPr>
        <w:t>3rd</w:t>
      </w:r>
      <w:r w:rsidR="00306A74">
        <w:rPr>
          <w:bCs/>
          <w:color w:val="000000"/>
        </w:rPr>
        <w:t xml:space="preserve"> ed.). </w:t>
      </w:r>
      <w:r w:rsidR="002D431C">
        <w:rPr>
          <w:bCs/>
          <w:color w:val="000000"/>
        </w:rPr>
        <w:t>Upper Saddle River</w:t>
      </w:r>
      <w:r w:rsidR="00AB3C7B">
        <w:rPr>
          <w:bCs/>
          <w:color w:val="000000"/>
        </w:rPr>
        <w:t xml:space="preserve">, NJ: Pearson </w:t>
      </w:r>
      <w:r w:rsidR="006B5DC5">
        <w:rPr>
          <w:bCs/>
          <w:color w:val="000000"/>
        </w:rPr>
        <w:t>Education</w:t>
      </w:r>
      <w:r w:rsidR="00AB3C7B">
        <w:rPr>
          <w:bCs/>
          <w:color w:val="000000"/>
        </w:rPr>
        <w:t>.</w:t>
      </w:r>
    </w:p>
    <w:p w:rsidR="00912D4E" w:rsidRDefault="00AB3C7B" w:rsidP="00AB3C7B">
      <w:pPr>
        <w:tabs>
          <w:tab w:val="left" w:pos="720"/>
        </w:tabs>
        <w:ind w:left="720" w:hanging="720"/>
        <w:rPr>
          <w:bCs/>
          <w:color w:val="000000"/>
        </w:rPr>
      </w:pPr>
      <w:r>
        <w:rPr>
          <w:bCs/>
          <w:color w:val="000000"/>
        </w:rPr>
        <w:t>Nursing Drug Guide Reference of the student’s choice (either hard copy or electronic)</w:t>
      </w:r>
    </w:p>
    <w:p w:rsidR="002D431C" w:rsidRPr="002D431C" w:rsidRDefault="00912D4E" w:rsidP="00912D4E">
      <w:pPr>
        <w:tabs>
          <w:tab w:val="left" w:pos="720"/>
        </w:tabs>
        <w:ind w:left="720" w:hanging="720"/>
        <w:rPr>
          <w:bCs/>
          <w:color w:val="000000"/>
        </w:rPr>
      </w:pPr>
      <w:r>
        <w:rPr>
          <w:bCs/>
          <w:color w:val="000000"/>
        </w:rPr>
        <w:t>Electronic response system device (clickers)</w:t>
      </w:r>
      <w:r>
        <w:rPr>
          <w:bCs/>
          <w:color w:val="000000"/>
        </w:rPr>
        <w:tab/>
      </w:r>
      <w:r w:rsidR="002D431C">
        <w:rPr>
          <w:bCs/>
          <w:color w:val="000000"/>
        </w:rPr>
        <w:tab/>
      </w:r>
    </w:p>
    <w:p w:rsidR="00D11D79" w:rsidRDefault="00D11D79" w:rsidP="00D11D79">
      <w:pPr>
        <w:tabs>
          <w:tab w:val="left" w:pos="720"/>
        </w:tabs>
        <w:rPr>
          <w:b/>
          <w:bCs/>
          <w:color w:val="000000"/>
        </w:rPr>
      </w:pPr>
    </w:p>
    <w:p w:rsidR="00D11D79" w:rsidRDefault="00B34BB1" w:rsidP="00680981">
      <w:pPr>
        <w:tabs>
          <w:tab w:val="left" w:pos="720"/>
        </w:tabs>
        <w:rPr>
          <w:b/>
          <w:bCs/>
          <w:color w:val="000000"/>
        </w:rPr>
      </w:pPr>
      <w:r>
        <w:rPr>
          <w:b/>
          <w:bCs/>
          <w:color w:val="000000"/>
        </w:rPr>
        <w:t>I</w:t>
      </w:r>
      <w:r w:rsidR="00680981">
        <w:rPr>
          <w:b/>
          <w:bCs/>
          <w:color w:val="000000"/>
        </w:rPr>
        <w:t>.</w:t>
      </w:r>
      <w:r w:rsidR="00680981">
        <w:rPr>
          <w:b/>
          <w:bCs/>
          <w:color w:val="000000"/>
        </w:rPr>
        <w:tab/>
      </w:r>
      <w:r w:rsidR="00D11D79">
        <w:rPr>
          <w:b/>
          <w:bCs/>
          <w:color w:val="000000"/>
        </w:rPr>
        <w:t>RECOMMENDED TEXT(S):</w:t>
      </w:r>
    </w:p>
    <w:p w:rsidR="00AB3C7B" w:rsidRDefault="00AB3C7B" w:rsidP="00AB3C7B">
      <w:pPr>
        <w:tabs>
          <w:tab w:val="left" w:pos="720"/>
        </w:tabs>
        <w:rPr>
          <w:b/>
          <w:bCs/>
          <w:color w:val="000000"/>
        </w:rPr>
      </w:pPr>
    </w:p>
    <w:p w:rsidR="00AB3C7B" w:rsidRDefault="00693F84" w:rsidP="00AB3C7B">
      <w:pPr>
        <w:tabs>
          <w:tab w:val="left" w:pos="720"/>
        </w:tabs>
        <w:ind w:left="720" w:hanging="720"/>
        <w:rPr>
          <w:bCs/>
          <w:color w:val="000000"/>
        </w:rPr>
      </w:pPr>
      <w:r>
        <w:rPr>
          <w:bCs/>
          <w:color w:val="000000"/>
        </w:rPr>
        <w:t xml:space="preserve">Adams, M. P., &amp; Urban, C. Q. (2013). </w:t>
      </w:r>
      <w:r w:rsidR="00AB3C7B">
        <w:rPr>
          <w:bCs/>
          <w:i/>
          <w:color w:val="000000"/>
        </w:rPr>
        <w:t>Student workbook and resource guide for pharmacology: Connections to nursing practice.</w:t>
      </w:r>
      <w:r w:rsidR="00AB3C7B">
        <w:rPr>
          <w:bCs/>
          <w:color w:val="000000"/>
        </w:rPr>
        <w:t xml:space="preserve"> Upper Saddle River, NJ: Pearson </w:t>
      </w:r>
      <w:r w:rsidR="00DC5B2A">
        <w:rPr>
          <w:bCs/>
          <w:color w:val="000000"/>
        </w:rPr>
        <w:t>Education</w:t>
      </w:r>
      <w:r w:rsidR="00AB3C7B">
        <w:rPr>
          <w:bCs/>
          <w:color w:val="000000"/>
        </w:rPr>
        <w:t>.</w:t>
      </w:r>
    </w:p>
    <w:p w:rsidR="00AB3C7B" w:rsidRDefault="00AB3C7B" w:rsidP="00AB3C7B">
      <w:pPr>
        <w:tabs>
          <w:tab w:val="left" w:pos="720"/>
        </w:tabs>
        <w:ind w:left="720" w:hanging="720"/>
        <w:rPr>
          <w:bCs/>
          <w:color w:val="000000"/>
        </w:rPr>
      </w:pPr>
      <w:r>
        <w:rPr>
          <w:bCs/>
          <w:color w:val="000000"/>
        </w:rPr>
        <w:t>Giangrasso, A. &amp; Shrimpton, D. (20</w:t>
      </w:r>
      <w:r w:rsidR="002D08B1">
        <w:rPr>
          <w:bCs/>
          <w:color w:val="000000"/>
        </w:rPr>
        <w:t>13</w:t>
      </w:r>
      <w:r>
        <w:rPr>
          <w:bCs/>
          <w:color w:val="000000"/>
        </w:rPr>
        <w:t xml:space="preserve">). </w:t>
      </w:r>
      <w:r>
        <w:rPr>
          <w:bCs/>
          <w:i/>
          <w:color w:val="000000"/>
        </w:rPr>
        <w:t>Ratio &amp; proportion dosage calculations</w:t>
      </w:r>
      <w:r w:rsidR="002D08B1">
        <w:rPr>
          <w:bCs/>
          <w:i/>
          <w:color w:val="000000"/>
        </w:rPr>
        <w:t xml:space="preserve"> </w:t>
      </w:r>
      <w:r w:rsidR="002D08B1">
        <w:rPr>
          <w:bCs/>
          <w:color w:val="000000"/>
        </w:rPr>
        <w:t>(2nd ed.).</w:t>
      </w:r>
      <w:r>
        <w:rPr>
          <w:bCs/>
          <w:i/>
          <w:color w:val="000000"/>
        </w:rPr>
        <w:t xml:space="preserve"> </w:t>
      </w:r>
      <w:r>
        <w:rPr>
          <w:bCs/>
          <w:color w:val="000000"/>
        </w:rPr>
        <w:t xml:space="preserve">Upper Saddle River, NJ: Pearson </w:t>
      </w:r>
      <w:r w:rsidR="00DC5B2A">
        <w:rPr>
          <w:bCs/>
          <w:color w:val="000000"/>
        </w:rPr>
        <w:t>Education</w:t>
      </w:r>
      <w:r>
        <w:rPr>
          <w:bCs/>
          <w:color w:val="000000"/>
        </w:rPr>
        <w:t>.</w:t>
      </w:r>
    </w:p>
    <w:p w:rsidR="00E1535B" w:rsidRDefault="00E1535B" w:rsidP="00AB3C7B">
      <w:pPr>
        <w:tabs>
          <w:tab w:val="left" w:pos="720"/>
        </w:tabs>
        <w:ind w:left="720" w:hanging="720"/>
        <w:rPr>
          <w:bCs/>
          <w:color w:val="000000"/>
        </w:rPr>
      </w:pPr>
    </w:p>
    <w:p w:rsidR="008038BA" w:rsidRDefault="00B34BB1" w:rsidP="00680981">
      <w:pPr>
        <w:tabs>
          <w:tab w:val="left" w:pos="720"/>
        </w:tabs>
        <w:rPr>
          <w:b/>
          <w:bCs/>
          <w:color w:val="000000"/>
        </w:rPr>
      </w:pPr>
      <w:r>
        <w:rPr>
          <w:b/>
          <w:bCs/>
          <w:color w:val="000000"/>
        </w:rPr>
        <w:t>J</w:t>
      </w:r>
      <w:r w:rsidR="00680981">
        <w:rPr>
          <w:b/>
          <w:bCs/>
          <w:color w:val="000000"/>
        </w:rPr>
        <w:t>.</w:t>
      </w:r>
      <w:r w:rsidR="00680981">
        <w:rPr>
          <w:b/>
          <w:bCs/>
          <w:color w:val="000000"/>
        </w:rPr>
        <w:tab/>
      </w:r>
      <w:r w:rsidR="00D11D79">
        <w:rPr>
          <w:b/>
          <w:bCs/>
          <w:color w:val="000000"/>
        </w:rPr>
        <w:t>COURSE FORMAT:</w:t>
      </w:r>
      <w:r w:rsidR="008038BA">
        <w:rPr>
          <w:b/>
          <w:bCs/>
          <w:color w:val="000000"/>
        </w:rPr>
        <w:t xml:space="preserve"> </w:t>
      </w:r>
    </w:p>
    <w:p w:rsidR="00FD3D31" w:rsidRDefault="00FD3D31" w:rsidP="00924806">
      <w:pPr>
        <w:tabs>
          <w:tab w:val="left" w:pos="720"/>
        </w:tabs>
        <w:ind w:left="720"/>
        <w:rPr>
          <w:bCs/>
          <w:color w:val="000000"/>
        </w:rPr>
      </w:pPr>
      <w:r>
        <w:rPr>
          <w:bCs/>
          <w:color w:val="000000"/>
        </w:rPr>
        <w:t>Unit 1-</w:t>
      </w:r>
      <w:r w:rsidR="0010532F">
        <w:rPr>
          <w:bCs/>
          <w:color w:val="000000"/>
        </w:rPr>
        <w:t xml:space="preserve"> </w:t>
      </w:r>
      <w:r>
        <w:rPr>
          <w:bCs/>
          <w:color w:val="000000"/>
        </w:rPr>
        <w:t>Safety Standar</w:t>
      </w:r>
      <w:r w:rsidR="009B297F">
        <w:rPr>
          <w:bCs/>
          <w:color w:val="000000"/>
        </w:rPr>
        <w:t xml:space="preserve">ds in Pharmacology for Nurses </w:t>
      </w:r>
    </w:p>
    <w:p w:rsidR="004929D7" w:rsidRPr="004929D7" w:rsidRDefault="004929D7" w:rsidP="004929D7">
      <w:pPr>
        <w:numPr>
          <w:ilvl w:val="12"/>
          <w:numId w:val="0"/>
        </w:numPr>
        <w:tabs>
          <w:tab w:val="left" w:pos="0"/>
        </w:tabs>
      </w:pPr>
      <w:r>
        <w:rPr>
          <w:bCs/>
          <w:color w:val="000000"/>
        </w:rPr>
        <w:tab/>
      </w:r>
      <w:r w:rsidRPr="004929D7">
        <w:rPr>
          <w:bCs/>
          <w:color w:val="000000"/>
        </w:rPr>
        <w:t>Unit 2-</w:t>
      </w:r>
      <w:r w:rsidRPr="004929D7">
        <w:rPr>
          <w:b/>
          <w:bCs/>
        </w:rPr>
        <w:t xml:space="preserve"> </w:t>
      </w:r>
      <w:r w:rsidR="0010532F">
        <w:rPr>
          <w:bCs/>
          <w:color w:val="000000"/>
        </w:rPr>
        <w:t xml:space="preserve">Physiologic Concepts of Pharmacology for Nurses </w:t>
      </w:r>
    </w:p>
    <w:p w:rsidR="00FD3D31" w:rsidRDefault="004929D7" w:rsidP="00924806">
      <w:pPr>
        <w:tabs>
          <w:tab w:val="left" w:pos="720"/>
        </w:tabs>
        <w:ind w:left="720"/>
        <w:rPr>
          <w:bCs/>
          <w:color w:val="000000"/>
        </w:rPr>
      </w:pPr>
      <w:r>
        <w:rPr>
          <w:bCs/>
          <w:color w:val="000000"/>
        </w:rPr>
        <w:t>Unit 3</w:t>
      </w:r>
      <w:r w:rsidR="00FD3D31">
        <w:rPr>
          <w:bCs/>
          <w:color w:val="000000"/>
        </w:rPr>
        <w:t>-</w:t>
      </w:r>
      <w:r w:rsidR="0010532F" w:rsidRPr="0010532F">
        <w:rPr>
          <w:bCs/>
        </w:rPr>
        <w:t xml:space="preserve"> </w:t>
      </w:r>
      <w:r w:rsidR="0010532F" w:rsidRPr="004929D7">
        <w:rPr>
          <w:bCs/>
        </w:rPr>
        <w:t>Patient Centered Care in Pharmacology for Nurses</w:t>
      </w:r>
      <w:r w:rsidR="0010532F">
        <w:rPr>
          <w:bCs/>
        </w:rPr>
        <w:t xml:space="preserve"> </w:t>
      </w:r>
    </w:p>
    <w:p w:rsidR="00FD3D31" w:rsidRDefault="004929D7" w:rsidP="00924806">
      <w:pPr>
        <w:tabs>
          <w:tab w:val="left" w:pos="720"/>
        </w:tabs>
        <w:ind w:left="720"/>
        <w:rPr>
          <w:bCs/>
          <w:color w:val="000000"/>
        </w:rPr>
      </w:pPr>
      <w:r>
        <w:rPr>
          <w:bCs/>
          <w:color w:val="000000"/>
        </w:rPr>
        <w:t>Unit 4</w:t>
      </w:r>
      <w:r w:rsidR="00FD3D31">
        <w:rPr>
          <w:bCs/>
          <w:color w:val="000000"/>
        </w:rPr>
        <w:t>-</w:t>
      </w:r>
      <w:r w:rsidR="0010532F">
        <w:rPr>
          <w:bCs/>
          <w:color w:val="000000"/>
        </w:rPr>
        <w:t xml:space="preserve"> </w:t>
      </w:r>
      <w:r w:rsidR="00FD3D31">
        <w:rPr>
          <w:bCs/>
          <w:color w:val="000000"/>
        </w:rPr>
        <w:t xml:space="preserve">Pharmacology affecting </w:t>
      </w:r>
      <w:r w:rsidR="009C223D">
        <w:rPr>
          <w:bCs/>
          <w:color w:val="000000"/>
        </w:rPr>
        <w:t>Peripheral Nerve</w:t>
      </w:r>
      <w:r w:rsidR="00FD3D31">
        <w:rPr>
          <w:bCs/>
          <w:color w:val="000000"/>
        </w:rPr>
        <w:t xml:space="preserve"> Regulation (ANS) </w:t>
      </w:r>
    </w:p>
    <w:p w:rsidR="00DB794C" w:rsidRDefault="004929D7" w:rsidP="00924806">
      <w:pPr>
        <w:tabs>
          <w:tab w:val="left" w:pos="720"/>
        </w:tabs>
        <w:ind w:left="720"/>
        <w:rPr>
          <w:bCs/>
          <w:color w:val="000000"/>
        </w:rPr>
      </w:pPr>
      <w:r>
        <w:rPr>
          <w:bCs/>
          <w:color w:val="000000"/>
        </w:rPr>
        <w:t>Unit 5</w:t>
      </w:r>
      <w:r w:rsidR="00DB794C">
        <w:rPr>
          <w:bCs/>
          <w:color w:val="000000"/>
        </w:rPr>
        <w:t>-</w:t>
      </w:r>
      <w:r w:rsidR="0010532F">
        <w:rPr>
          <w:bCs/>
          <w:color w:val="000000"/>
        </w:rPr>
        <w:t xml:space="preserve"> </w:t>
      </w:r>
      <w:r w:rsidR="00E72DA5">
        <w:rPr>
          <w:bCs/>
          <w:color w:val="000000"/>
        </w:rPr>
        <w:t xml:space="preserve">Pharmacology affecting Comfort </w:t>
      </w:r>
    </w:p>
    <w:p w:rsidR="00DB794C" w:rsidRDefault="004929D7" w:rsidP="00924806">
      <w:pPr>
        <w:tabs>
          <w:tab w:val="left" w:pos="720"/>
        </w:tabs>
        <w:ind w:left="720"/>
        <w:rPr>
          <w:bCs/>
          <w:color w:val="000000"/>
        </w:rPr>
      </w:pPr>
      <w:r>
        <w:rPr>
          <w:bCs/>
          <w:color w:val="000000"/>
        </w:rPr>
        <w:t>Unit 6</w:t>
      </w:r>
      <w:r w:rsidR="00DB794C">
        <w:rPr>
          <w:bCs/>
          <w:color w:val="000000"/>
        </w:rPr>
        <w:t>-</w:t>
      </w:r>
      <w:r w:rsidR="008362F6" w:rsidRPr="008362F6">
        <w:rPr>
          <w:bCs/>
          <w:color w:val="000000"/>
        </w:rPr>
        <w:t xml:space="preserve"> </w:t>
      </w:r>
      <w:r w:rsidR="008362F6">
        <w:rPr>
          <w:bCs/>
          <w:color w:val="000000"/>
        </w:rPr>
        <w:t>Pharmacology affecting Intracranial Regulation (CNS: Anxiety, Sleep, Cogni</w:t>
      </w:r>
      <w:r w:rsidR="00E72DA5">
        <w:rPr>
          <w:bCs/>
          <w:color w:val="000000"/>
        </w:rPr>
        <w:t>tion</w:t>
      </w:r>
      <w:r w:rsidR="00CF0D47">
        <w:rPr>
          <w:bCs/>
          <w:color w:val="000000"/>
        </w:rPr>
        <w:t>,</w:t>
      </w:r>
      <w:r w:rsidR="00E72DA5">
        <w:rPr>
          <w:bCs/>
          <w:color w:val="000000"/>
        </w:rPr>
        <w:t xml:space="preserve"> &amp;</w:t>
      </w:r>
      <w:r w:rsidR="00824581">
        <w:rPr>
          <w:bCs/>
          <w:color w:val="000000"/>
        </w:rPr>
        <w:t xml:space="preserve"> ADHD</w:t>
      </w:r>
      <w:r w:rsidR="00E72DA5">
        <w:rPr>
          <w:bCs/>
          <w:color w:val="000000"/>
        </w:rPr>
        <w:t xml:space="preserve">) </w:t>
      </w:r>
    </w:p>
    <w:p w:rsidR="00DB794C" w:rsidRDefault="004929D7" w:rsidP="006307FA">
      <w:pPr>
        <w:tabs>
          <w:tab w:val="left" w:pos="720"/>
        </w:tabs>
        <w:ind w:left="720"/>
        <w:rPr>
          <w:bCs/>
          <w:color w:val="000000"/>
        </w:rPr>
      </w:pPr>
      <w:r>
        <w:rPr>
          <w:bCs/>
          <w:color w:val="000000"/>
        </w:rPr>
        <w:t>Unit 7</w:t>
      </w:r>
      <w:r w:rsidR="00DB794C">
        <w:rPr>
          <w:bCs/>
          <w:color w:val="000000"/>
        </w:rPr>
        <w:t>-</w:t>
      </w:r>
      <w:r w:rsidR="006307FA" w:rsidRPr="006307FA">
        <w:rPr>
          <w:bCs/>
          <w:color w:val="000000"/>
        </w:rPr>
        <w:t xml:space="preserve"> </w:t>
      </w:r>
      <w:r w:rsidR="006307FA">
        <w:rPr>
          <w:bCs/>
          <w:color w:val="000000"/>
        </w:rPr>
        <w:t xml:space="preserve">Pharmacology affecting Mobility (Neuromuscular &amp; Musculoskeletal) </w:t>
      </w:r>
    </w:p>
    <w:p w:rsidR="00DB794C" w:rsidRDefault="004929D7" w:rsidP="00924806">
      <w:pPr>
        <w:tabs>
          <w:tab w:val="left" w:pos="720"/>
        </w:tabs>
        <w:ind w:left="720"/>
        <w:rPr>
          <w:bCs/>
          <w:color w:val="000000"/>
        </w:rPr>
      </w:pPr>
      <w:r>
        <w:rPr>
          <w:bCs/>
          <w:color w:val="000000"/>
        </w:rPr>
        <w:t>Unit 8</w:t>
      </w:r>
      <w:r w:rsidR="00DB794C">
        <w:rPr>
          <w:bCs/>
          <w:color w:val="000000"/>
        </w:rPr>
        <w:t>-</w:t>
      </w:r>
      <w:r w:rsidR="0010532F">
        <w:rPr>
          <w:bCs/>
          <w:color w:val="000000"/>
        </w:rPr>
        <w:t xml:space="preserve"> </w:t>
      </w:r>
      <w:r w:rsidR="00DB794C">
        <w:rPr>
          <w:bCs/>
          <w:color w:val="000000"/>
        </w:rPr>
        <w:t xml:space="preserve">Pharmacology affecting Endocrine Disorders </w:t>
      </w:r>
    </w:p>
    <w:p w:rsidR="00DB794C" w:rsidRDefault="004929D7" w:rsidP="00924806">
      <w:pPr>
        <w:tabs>
          <w:tab w:val="left" w:pos="720"/>
        </w:tabs>
        <w:ind w:left="720"/>
        <w:rPr>
          <w:bCs/>
          <w:color w:val="000000"/>
        </w:rPr>
      </w:pPr>
      <w:r>
        <w:rPr>
          <w:bCs/>
          <w:color w:val="000000"/>
        </w:rPr>
        <w:t>Unit 9</w:t>
      </w:r>
      <w:r w:rsidR="00DB794C">
        <w:rPr>
          <w:bCs/>
          <w:color w:val="000000"/>
        </w:rPr>
        <w:t>-</w:t>
      </w:r>
      <w:r w:rsidR="0010532F">
        <w:rPr>
          <w:bCs/>
          <w:color w:val="000000"/>
        </w:rPr>
        <w:t xml:space="preserve"> </w:t>
      </w:r>
      <w:r w:rsidR="00DB794C">
        <w:rPr>
          <w:bCs/>
          <w:color w:val="000000"/>
        </w:rPr>
        <w:t>Pharmacology affecting Perfusion (Cardiovascular</w:t>
      </w:r>
      <w:r w:rsidR="00E72DA5">
        <w:rPr>
          <w:bCs/>
          <w:color w:val="000000"/>
        </w:rPr>
        <w:t>-HTN</w:t>
      </w:r>
      <w:r w:rsidR="00DB794C">
        <w:rPr>
          <w:bCs/>
          <w:color w:val="000000"/>
        </w:rPr>
        <w:t xml:space="preserve">) </w:t>
      </w:r>
    </w:p>
    <w:p w:rsidR="00E72DA5" w:rsidRDefault="00E72DA5" w:rsidP="00924806">
      <w:pPr>
        <w:tabs>
          <w:tab w:val="left" w:pos="720"/>
        </w:tabs>
        <w:ind w:left="720"/>
        <w:rPr>
          <w:bCs/>
          <w:color w:val="000000"/>
        </w:rPr>
      </w:pPr>
      <w:r>
        <w:rPr>
          <w:bCs/>
          <w:color w:val="000000"/>
        </w:rPr>
        <w:t>Unit 10- Pharmacology affecting Perfusion (Cardiovascular-Heart failure</w:t>
      </w:r>
      <w:r w:rsidR="00D8786A">
        <w:rPr>
          <w:bCs/>
          <w:color w:val="000000"/>
        </w:rPr>
        <w:t>, Coagulation</w:t>
      </w:r>
      <w:r>
        <w:rPr>
          <w:bCs/>
          <w:color w:val="000000"/>
        </w:rPr>
        <w:t xml:space="preserve">) </w:t>
      </w:r>
    </w:p>
    <w:p w:rsidR="00DB794C" w:rsidRDefault="00E72DA5" w:rsidP="00924806">
      <w:pPr>
        <w:tabs>
          <w:tab w:val="left" w:pos="720"/>
        </w:tabs>
        <w:ind w:left="720"/>
        <w:rPr>
          <w:bCs/>
          <w:color w:val="000000"/>
        </w:rPr>
      </w:pPr>
      <w:r>
        <w:rPr>
          <w:bCs/>
          <w:color w:val="000000"/>
        </w:rPr>
        <w:t>Unit 11</w:t>
      </w:r>
      <w:r w:rsidR="000902A7">
        <w:rPr>
          <w:bCs/>
          <w:color w:val="000000"/>
        </w:rPr>
        <w:t>-</w:t>
      </w:r>
      <w:r w:rsidR="0010532F">
        <w:rPr>
          <w:bCs/>
          <w:color w:val="000000"/>
        </w:rPr>
        <w:t xml:space="preserve"> </w:t>
      </w:r>
      <w:r w:rsidR="000902A7">
        <w:rPr>
          <w:bCs/>
          <w:color w:val="000000"/>
        </w:rPr>
        <w:t>Pharmacology affecting O</w:t>
      </w:r>
      <w:r w:rsidR="00DB794C">
        <w:rPr>
          <w:bCs/>
          <w:color w:val="000000"/>
        </w:rPr>
        <w:t xml:space="preserve">xygenation </w:t>
      </w:r>
    </w:p>
    <w:p w:rsidR="00DB794C" w:rsidRDefault="00E72DA5" w:rsidP="00924806">
      <w:pPr>
        <w:tabs>
          <w:tab w:val="left" w:pos="720"/>
        </w:tabs>
        <w:ind w:left="720"/>
        <w:rPr>
          <w:bCs/>
          <w:color w:val="000000"/>
        </w:rPr>
      </w:pPr>
      <w:r>
        <w:rPr>
          <w:bCs/>
          <w:color w:val="000000"/>
        </w:rPr>
        <w:t>Unit 12</w:t>
      </w:r>
      <w:r w:rsidR="000902A7">
        <w:rPr>
          <w:bCs/>
          <w:color w:val="000000"/>
        </w:rPr>
        <w:t>-</w:t>
      </w:r>
      <w:r w:rsidR="0010532F">
        <w:rPr>
          <w:bCs/>
          <w:color w:val="000000"/>
        </w:rPr>
        <w:t xml:space="preserve"> </w:t>
      </w:r>
      <w:r w:rsidR="000902A7">
        <w:rPr>
          <w:bCs/>
          <w:color w:val="000000"/>
        </w:rPr>
        <w:t>Pharmacology affecting Nutrition and E</w:t>
      </w:r>
      <w:r w:rsidR="00DB794C">
        <w:rPr>
          <w:bCs/>
          <w:color w:val="000000"/>
        </w:rPr>
        <w:t xml:space="preserve">limination </w:t>
      </w:r>
    </w:p>
    <w:p w:rsidR="00DB794C" w:rsidRDefault="00DB794C" w:rsidP="00924806">
      <w:pPr>
        <w:tabs>
          <w:tab w:val="left" w:pos="720"/>
        </w:tabs>
        <w:ind w:left="720"/>
        <w:rPr>
          <w:bCs/>
          <w:color w:val="000000"/>
        </w:rPr>
      </w:pPr>
      <w:r>
        <w:rPr>
          <w:bCs/>
          <w:color w:val="000000"/>
        </w:rPr>
        <w:t>Unit 1</w:t>
      </w:r>
      <w:r w:rsidR="00E72DA5">
        <w:rPr>
          <w:bCs/>
          <w:color w:val="000000"/>
        </w:rPr>
        <w:t>3</w:t>
      </w:r>
      <w:r w:rsidR="000902A7">
        <w:rPr>
          <w:bCs/>
          <w:color w:val="000000"/>
        </w:rPr>
        <w:t>-</w:t>
      </w:r>
      <w:r w:rsidR="0010532F">
        <w:rPr>
          <w:bCs/>
          <w:color w:val="000000"/>
        </w:rPr>
        <w:t xml:space="preserve"> </w:t>
      </w:r>
      <w:r w:rsidR="000902A7">
        <w:rPr>
          <w:bCs/>
          <w:color w:val="000000"/>
        </w:rPr>
        <w:t>Pharmacology affecting Reproduction/S</w:t>
      </w:r>
      <w:r>
        <w:rPr>
          <w:bCs/>
          <w:color w:val="000000"/>
        </w:rPr>
        <w:t xml:space="preserve">exuality </w:t>
      </w:r>
    </w:p>
    <w:p w:rsidR="00DB794C" w:rsidRDefault="00E72DA5" w:rsidP="00924806">
      <w:pPr>
        <w:tabs>
          <w:tab w:val="left" w:pos="720"/>
        </w:tabs>
        <w:ind w:left="720"/>
        <w:rPr>
          <w:bCs/>
          <w:color w:val="000000"/>
        </w:rPr>
      </w:pPr>
      <w:r>
        <w:rPr>
          <w:bCs/>
          <w:color w:val="000000"/>
        </w:rPr>
        <w:t>Unit 14</w:t>
      </w:r>
      <w:r w:rsidR="000902A7">
        <w:rPr>
          <w:bCs/>
          <w:color w:val="000000"/>
        </w:rPr>
        <w:t>-</w:t>
      </w:r>
      <w:r w:rsidR="0010532F">
        <w:rPr>
          <w:bCs/>
          <w:color w:val="000000"/>
        </w:rPr>
        <w:t xml:space="preserve"> </w:t>
      </w:r>
      <w:r w:rsidR="000902A7">
        <w:rPr>
          <w:bCs/>
          <w:color w:val="000000"/>
        </w:rPr>
        <w:t>Pharmacology affecting I</w:t>
      </w:r>
      <w:r w:rsidR="00DB794C">
        <w:rPr>
          <w:bCs/>
          <w:color w:val="000000"/>
        </w:rPr>
        <w:t xml:space="preserve">nfection </w:t>
      </w:r>
    </w:p>
    <w:p w:rsidR="00B34BB1" w:rsidRDefault="00B34BB1" w:rsidP="00924806">
      <w:pPr>
        <w:tabs>
          <w:tab w:val="left" w:pos="720"/>
        </w:tabs>
        <w:ind w:left="720"/>
        <w:rPr>
          <w:bCs/>
          <w:color w:val="000000"/>
        </w:rPr>
      </w:pPr>
    </w:p>
    <w:p w:rsidR="00B34BB1" w:rsidRPr="00A923B1" w:rsidRDefault="00B34BB1" w:rsidP="00B34BB1">
      <w:pPr>
        <w:spacing w:after="380"/>
        <w:contextualSpacing/>
        <w:rPr>
          <w:color w:val="262626"/>
        </w:rPr>
      </w:pPr>
      <w:r w:rsidRPr="00A923B1">
        <w:rPr>
          <w:b/>
          <w:bCs/>
          <w:color w:val="262626"/>
        </w:rPr>
        <w:t>K.        PROFESSIONAL CONDUCT:</w:t>
      </w:r>
    </w:p>
    <w:p w:rsidR="00B34BB1" w:rsidRDefault="00B34BB1" w:rsidP="00B476A1">
      <w:pPr>
        <w:spacing w:after="380"/>
        <w:ind w:left="720"/>
        <w:contextualSpacing/>
        <w:rPr>
          <w:color w:val="262626"/>
        </w:rPr>
      </w:pPr>
      <w:r w:rsidRPr="00A923B1">
        <w:rPr>
          <w:color w:val="262626"/>
        </w:rPr>
        <w:t>Students are expected to abide by the WSU student code and the Nurse Practice Act of the State of Utah. Plagiarism or any other form of cheating will result in failure of the</w:t>
      </w:r>
      <w:r w:rsidR="00B476A1">
        <w:rPr>
          <w:color w:val="262626"/>
        </w:rPr>
        <w:t xml:space="preserve"> </w:t>
      </w:r>
      <w:r w:rsidRPr="00A923B1">
        <w:rPr>
          <w:color w:val="262626"/>
        </w:rPr>
        <w:t>course and probable dismissal from the BSN program. WSU subscribes to Turnitin.com, an electronic service that verifies the originality of student work. Enrollment in this course may require you to submit some or all of your assignments to it this semester, and documents submitted to TurnItIn.com are retained anonymously, in their databases. Continued enrollment in this course constitutes an understanding of an agreement with this policy.</w:t>
      </w:r>
    </w:p>
    <w:p w:rsidR="00D11D79" w:rsidRDefault="00D11D79" w:rsidP="00D11D79">
      <w:pPr>
        <w:tabs>
          <w:tab w:val="left" w:pos="720"/>
        </w:tabs>
        <w:rPr>
          <w:b/>
          <w:bCs/>
          <w:color w:val="000000"/>
        </w:rPr>
      </w:pPr>
    </w:p>
    <w:p w:rsidR="0062239D" w:rsidRPr="00D11D79" w:rsidRDefault="005F713F" w:rsidP="00680981">
      <w:pPr>
        <w:tabs>
          <w:tab w:val="left" w:pos="720"/>
        </w:tabs>
        <w:rPr>
          <w:b/>
          <w:bCs/>
          <w:color w:val="000000"/>
        </w:rPr>
      </w:pPr>
      <w:r>
        <w:rPr>
          <w:b/>
          <w:bCs/>
          <w:color w:val="000000"/>
        </w:rPr>
        <w:t>L</w:t>
      </w:r>
      <w:r w:rsidR="00680981">
        <w:rPr>
          <w:b/>
          <w:bCs/>
          <w:color w:val="000000"/>
        </w:rPr>
        <w:t>.</w:t>
      </w:r>
      <w:r w:rsidR="00680981">
        <w:rPr>
          <w:b/>
          <w:bCs/>
          <w:color w:val="000000"/>
        </w:rPr>
        <w:tab/>
      </w:r>
      <w:r w:rsidR="0062239D" w:rsidRPr="00D11D79">
        <w:rPr>
          <w:b/>
          <w:bCs/>
          <w:color w:val="000000"/>
        </w:rPr>
        <w:t>SYLLABUS DISCLOSURE STATEMENT:</w:t>
      </w:r>
    </w:p>
    <w:p w:rsidR="0062239D" w:rsidRPr="00404125" w:rsidRDefault="0062239D" w:rsidP="00B9281D">
      <w:pPr>
        <w:rPr>
          <w:color w:val="000000"/>
        </w:rPr>
      </w:pPr>
      <w:r w:rsidRPr="00404125">
        <w:rPr>
          <w:color w:val="000000"/>
        </w:rPr>
        <w:tab/>
        <w:t xml:space="preserve">The syllabus is the governing document for this course.  Your decision to take this course </w:t>
      </w:r>
      <w:r w:rsidRPr="00404125">
        <w:rPr>
          <w:color w:val="000000"/>
        </w:rPr>
        <w:tab/>
        <w:t xml:space="preserve">amounts to your tacit consent to the conditions of this syllabus.  The professor, as well, is bound </w:t>
      </w:r>
      <w:r w:rsidRPr="00404125">
        <w:rPr>
          <w:color w:val="000000"/>
        </w:rPr>
        <w:tab/>
        <w:t xml:space="preserve">by the terms of this syllabus and may not make any significant changes unless they are approved </w:t>
      </w:r>
      <w:r w:rsidRPr="00404125">
        <w:rPr>
          <w:color w:val="000000"/>
        </w:rPr>
        <w:tab/>
        <w:t>by the class as a whole.</w:t>
      </w:r>
    </w:p>
    <w:p w:rsidR="0062239D" w:rsidRPr="00404125" w:rsidRDefault="0062239D" w:rsidP="00B9281D">
      <w:pPr>
        <w:rPr>
          <w:color w:val="000000"/>
        </w:rPr>
      </w:pPr>
    </w:p>
    <w:p w:rsidR="00843C92" w:rsidRPr="00A923B1" w:rsidRDefault="00843C92" w:rsidP="00843C92">
      <w:pPr>
        <w:spacing w:after="380"/>
        <w:contextualSpacing/>
        <w:rPr>
          <w:color w:val="262626"/>
        </w:rPr>
      </w:pPr>
      <w:r w:rsidRPr="00A923B1">
        <w:rPr>
          <w:b/>
          <w:bCs/>
          <w:color w:val="262626"/>
        </w:rPr>
        <w:t>M.</w:t>
      </w:r>
      <w:r w:rsidRPr="00A923B1">
        <w:rPr>
          <w:color w:val="262626"/>
        </w:rPr>
        <w:t xml:space="preserve">       </w:t>
      </w:r>
      <w:r w:rsidRPr="00A923B1">
        <w:rPr>
          <w:b/>
          <w:bCs/>
          <w:color w:val="262626"/>
        </w:rPr>
        <w:t>SERVICES FOR STUDENTS WITH DISABILITIES:</w:t>
      </w:r>
    </w:p>
    <w:p w:rsidR="0062239D" w:rsidRPr="009851FC" w:rsidRDefault="009851FC" w:rsidP="009851FC">
      <w:pPr>
        <w:ind w:left="720"/>
      </w:pPr>
      <w:r w:rsidRPr="009851FC">
        <w:t>Any student requiring accommodations or services due to a disability must contact Services for Students with Disabilities (SSD) in Room 181 of the Student Services Center (or Room 256, Bldg 2 at the Davis Campus). SSD can also arrange to provide course materials (including this syllabus) in alternative formats upon request. Contact SSD by phone at </w:t>
      </w:r>
      <w:hyperlink r:id="rId8" w:tgtFrame="_blank" w:history="1">
        <w:r w:rsidRPr="009851FC">
          <w:rPr>
            <w:rStyle w:val="Hyperlink"/>
            <w:rFonts w:eastAsia="Batang"/>
          </w:rPr>
          <w:t>801-626-6413</w:t>
        </w:r>
      </w:hyperlink>
      <w:r w:rsidRPr="009851FC">
        <w:t> (Ogden Campus) or 801-395-3442 (Davis Campus); or by email at </w:t>
      </w:r>
      <w:hyperlink r:id="rId9" w:tgtFrame="_blank" w:history="1">
        <w:r w:rsidRPr="009851FC">
          <w:rPr>
            <w:rStyle w:val="Hyperlink"/>
            <w:rFonts w:eastAsia="Batang"/>
          </w:rPr>
          <w:t>ssd@weber.edu</w:t>
        </w:r>
      </w:hyperlink>
      <w:r w:rsidRPr="009851FC">
        <w:t>.</w:t>
      </w:r>
      <w:r w:rsidR="00843C92" w:rsidRPr="009851FC">
        <w:t xml:space="preserve"> </w:t>
      </w:r>
      <w:r>
        <w:t xml:space="preserve"> </w:t>
      </w:r>
    </w:p>
    <w:sectPr w:rsidR="0062239D" w:rsidRPr="009851FC" w:rsidSect="00843C92">
      <w:headerReference w:type="even" r:id="rId10"/>
      <w:headerReference w:type="default" r:id="rId11"/>
      <w:footerReference w:type="even" r:id="rId12"/>
      <w:footerReference w:type="default" r:id="rId13"/>
      <w:headerReference w:type="first" r:id="rId14"/>
      <w:footerReference w:type="first" r:id="rId15"/>
      <w:pgSz w:w="12240" w:h="15840"/>
      <w:pgMar w:top="1050" w:right="990" w:bottom="900" w:left="1170" w:header="81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5D4C" w:rsidRDefault="00295D4C">
      <w:r>
        <w:separator/>
      </w:r>
    </w:p>
  </w:endnote>
  <w:endnote w:type="continuationSeparator" w:id="0">
    <w:p w:rsidR="00295D4C" w:rsidRDefault="00295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42D" w:rsidRDefault="000114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42D" w:rsidRDefault="0001142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42D" w:rsidRDefault="000114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5D4C" w:rsidRDefault="00295D4C">
      <w:r>
        <w:separator/>
      </w:r>
    </w:p>
  </w:footnote>
  <w:footnote w:type="continuationSeparator" w:id="0">
    <w:p w:rsidR="00295D4C" w:rsidRDefault="00295D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397" w:rsidRDefault="00D513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223" w:rsidRDefault="00E25223">
    <w:pPr>
      <w:tabs>
        <w:tab w:val="right" w:pos="10062"/>
      </w:tabs>
    </w:pPr>
    <w:r>
      <w:t xml:space="preserve">Nursing </w:t>
    </w:r>
    <w:r w:rsidR="0001142D">
      <w:t>2100</w:t>
    </w:r>
    <w:r>
      <w:tab/>
    </w:r>
    <w:r>
      <w:pgNum/>
    </w:r>
  </w:p>
  <w:p w:rsidR="00E25223" w:rsidRDefault="00E2522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397" w:rsidRDefault="00D513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53C4E"/>
    <w:multiLevelType w:val="hybridMultilevel"/>
    <w:tmpl w:val="52F4B4D4"/>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A1E8C"/>
    <w:multiLevelType w:val="hybridMultilevel"/>
    <w:tmpl w:val="6E38B658"/>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615272"/>
    <w:multiLevelType w:val="hybridMultilevel"/>
    <w:tmpl w:val="69242BD6"/>
    <w:lvl w:ilvl="0" w:tplc="CC6009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A82557"/>
    <w:multiLevelType w:val="multilevel"/>
    <w:tmpl w:val="481CDAA6"/>
    <w:lvl w:ilvl="0">
      <w:start w:val="1"/>
      <w:numFmt w:val="upperLetter"/>
      <w:lvlText w:val="%1."/>
      <w:lvlJc w:val="left"/>
      <w:rPr>
        <w:rFonts w:ascii="Times New Roman" w:hAnsi="Times New Roman" w:cs="Times New Roman" w:hint="default"/>
        <w:b/>
        <w:bCs w:val="0"/>
      </w:rPr>
    </w:lvl>
    <w:lvl w:ilvl="1">
      <w:start w:val="1"/>
      <w:numFmt w:val="bullet"/>
      <w:lvlText w:val=""/>
      <w:lvlJc w:val="left"/>
      <w:pPr>
        <w:ind w:left="2160"/>
      </w:pPr>
      <w:rPr>
        <w:rFonts w:ascii="Symbol" w:hAnsi="Symbol" w:cs="Symbol" w:hint="default"/>
        <w:color w:val="auto"/>
      </w:rPr>
    </w:lvl>
    <w:lvl w:ilvl="2">
      <w:start w:val="1"/>
      <w:numFmt w:val="lowerLetter"/>
      <w:lvlText w:val="%3."/>
      <w:lvlJc w:val="left"/>
      <w:pPr>
        <w:ind w:left="2880"/>
      </w:pPr>
      <w:rPr>
        <w:rFonts w:ascii="Times New Roman" w:hAnsi="Times New Roman" w:cs="Times New Roman" w:hint="default"/>
      </w:rPr>
    </w:lvl>
    <w:lvl w:ilvl="3">
      <w:start w:val="1"/>
      <w:numFmt w:val="decimal"/>
      <w:lvlText w:val="(%4)"/>
      <w:lvlJc w:val="left"/>
      <w:pPr>
        <w:ind w:left="3600"/>
      </w:pPr>
      <w:rPr>
        <w:rFonts w:ascii="Times New Roman" w:hAnsi="Times New Roman" w:cs="Times New Roman" w:hint="default"/>
      </w:rPr>
    </w:lvl>
    <w:lvl w:ilvl="4">
      <w:start w:val="1"/>
      <w:numFmt w:val="lowerLetter"/>
      <w:lvlText w:val="(%5)"/>
      <w:lvlJc w:val="left"/>
      <w:pPr>
        <w:ind w:left="4320"/>
      </w:pPr>
      <w:rPr>
        <w:rFonts w:ascii="Times New Roman" w:hAnsi="Times New Roman" w:cs="Times New Roman" w:hint="default"/>
      </w:rPr>
    </w:lvl>
    <w:lvl w:ilvl="5">
      <w:start w:val="1"/>
      <w:numFmt w:val="lowerRoman"/>
      <w:lvlText w:val="(%6)"/>
      <w:lvlJc w:val="left"/>
      <w:pPr>
        <w:ind w:left="5040"/>
      </w:pPr>
      <w:rPr>
        <w:rFonts w:ascii="Times New Roman" w:hAnsi="Times New Roman" w:cs="Times New Roman" w:hint="default"/>
      </w:rPr>
    </w:lvl>
    <w:lvl w:ilvl="6">
      <w:start w:val="1"/>
      <w:numFmt w:val="decimal"/>
      <w:lvlText w:val="%7."/>
      <w:lvlJc w:val="left"/>
      <w:pPr>
        <w:ind w:left="5760"/>
      </w:pPr>
      <w:rPr>
        <w:rFonts w:ascii="Times New Roman" w:hAnsi="Times New Roman" w:cs="Times New Roman" w:hint="default"/>
      </w:rPr>
    </w:lvl>
    <w:lvl w:ilvl="7">
      <w:start w:val="1"/>
      <w:numFmt w:val="lowerLetter"/>
      <w:lvlText w:val="%8."/>
      <w:lvlJc w:val="left"/>
      <w:pPr>
        <w:ind w:left="6480"/>
      </w:pPr>
      <w:rPr>
        <w:rFonts w:ascii="Times New Roman" w:hAnsi="Times New Roman" w:cs="Times New Roman" w:hint="default"/>
      </w:rPr>
    </w:lvl>
    <w:lvl w:ilvl="8">
      <w:start w:val="1"/>
      <w:numFmt w:val="lowerRoman"/>
      <w:lvlText w:val="%9."/>
      <w:lvlJc w:val="left"/>
      <w:pPr>
        <w:ind w:left="7200"/>
      </w:pPr>
      <w:rPr>
        <w:rFonts w:ascii="Times New Roman" w:hAnsi="Times New Roman" w:cs="Times New Roman" w:hint="default"/>
      </w:rPr>
    </w:lvl>
  </w:abstractNum>
  <w:abstractNum w:abstractNumId="4" w15:restartNumberingAfterBreak="0">
    <w:nsid w:val="0E7E2084"/>
    <w:multiLevelType w:val="hybridMultilevel"/>
    <w:tmpl w:val="D0E0A224"/>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7F20E2"/>
    <w:multiLevelType w:val="hybridMultilevel"/>
    <w:tmpl w:val="DB165F5A"/>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781C43"/>
    <w:multiLevelType w:val="hybridMultilevel"/>
    <w:tmpl w:val="5C1E8428"/>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216B89"/>
    <w:multiLevelType w:val="hybridMultilevel"/>
    <w:tmpl w:val="2FFAD970"/>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2712F9"/>
    <w:multiLevelType w:val="hybridMultilevel"/>
    <w:tmpl w:val="C42C68BC"/>
    <w:lvl w:ilvl="0" w:tplc="B51EE3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BD76F0"/>
    <w:multiLevelType w:val="hybridMultilevel"/>
    <w:tmpl w:val="4FC477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4F310B1"/>
    <w:multiLevelType w:val="hybridMultilevel"/>
    <w:tmpl w:val="F794A334"/>
    <w:lvl w:ilvl="0" w:tplc="04090015">
      <w:start w:val="7"/>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23828B0"/>
    <w:multiLevelType w:val="multilevel"/>
    <w:tmpl w:val="6456D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236305"/>
    <w:multiLevelType w:val="hybridMultilevel"/>
    <w:tmpl w:val="6A1C0F14"/>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BE240A"/>
    <w:multiLevelType w:val="hybridMultilevel"/>
    <w:tmpl w:val="B18028A4"/>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A261D7"/>
    <w:multiLevelType w:val="hybridMultilevel"/>
    <w:tmpl w:val="55484680"/>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7E3610"/>
    <w:multiLevelType w:val="hybridMultilevel"/>
    <w:tmpl w:val="80B88994"/>
    <w:lvl w:ilvl="0" w:tplc="7612EA72">
      <w:start w:val="1"/>
      <w:numFmt w:val="decimal"/>
      <w:lvlText w:val="%1."/>
      <w:lvlJc w:val="left"/>
      <w:pPr>
        <w:tabs>
          <w:tab w:val="num" w:pos="1440"/>
        </w:tabs>
        <w:ind w:left="1440" w:hanging="360"/>
      </w:pPr>
      <w:rPr>
        <w:rFonts w:ascii="Times New Roman" w:eastAsia="Batang" w:hAnsi="Times New Roman" w:cs="Arial"/>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6" w15:restartNumberingAfterBreak="0">
    <w:nsid w:val="4CEE0F74"/>
    <w:multiLevelType w:val="hybridMultilevel"/>
    <w:tmpl w:val="0B7E60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D603018"/>
    <w:multiLevelType w:val="hybridMultilevel"/>
    <w:tmpl w:val="E6062682"/>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717B58"/>
    <w:multiLevelType w:val="hybridMultilevel"/>
    <w:tmpl w:val="5D32A58C"/>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5A5677"/>
    <w:multiLevelType w:val="hybridMultilevel"/>
    <w:tmpl w:val="4C026D78"/>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BF29C8"/>
    <w:multiLevelType w:val="hybridMultilevel"/>
    <w:tmpl w:val="4E9C49E0"/>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5"/>
  </w:num>
  <w:num w:numId="3">
    <w:abstractNumId w:val="9"/>
  </w:num>
  <w:num w:numId="4">
    <w:abstractNumId w:val="16"/>
  </w:num>
  <w:num w:numId="5">
    <w:abstractNumId w:val="10"/>
  </w:num>
  <w:num w:numId="6">
    <w:abstractNumId w:val="7"/>
  </w:num>
  <w:num w:numId="7">
    <w:abstractNumId w:val="2"/>
  </w:num>
  <w:num w:numId="8">
    <w:abstractNumId w:val="5"/>
  </w:num>
  <w:num w:numId="9">
    <w:abstractNumId w:val="0"/>
  </w:num>
  <w:num w:numId="10">
    <w:abstractNumId w:val="17"/>
  </w:num>
  <w:num w:numId="11">
    <w:abstractNumId w:val="6"/>
  </w:num>
  <w:num w:numId="12">
    <w:abstractNumId w:val="1"/>
  </w:num>
  <w:num w:numId="13">
    <w:abstractNumId w:val="14"/>
  </w:num>
  <w:num w:numId="14">
    <w:abstractNumId w:val="19"/>
  </w:num>
  <w:num w:numId="15">
    <w:abstractNumId w:val="20"/>
  </w:num>
  <w:num w:numId="16">
    <w:abstractNumId w:val="12"/>
  </w:num>
  <w:num w:numId="17">
    <w:abstractNumId w:val="4"/>
  </w:num>
  <w:num w:numId="18">
    <w:abstractNumId w:val="18"/>
  </w:num>
  <w:num w:numId="19">
    <w:abstractNumId w:val="13"/>
  </w:num>
  <w:num w:numId="20">
    <w:abstractNumId w:val="8"/>
  </w:num>
  <w:num w:numId="21">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6CF"/>
    <w:rsid w:val="0001142D"/>
    <w:rsid w:val="00035FE5"/>
    <w:rsid w:val="00053C44"/>
    <w:rsid w:val="00060D92"/>
    <w:rsid w:val="00063A74"/>
    <w:rsid w:val="00065E2E"/>
    <w:rsid w:val="000722F0"/>
    <w:rsid w:val="000819F5"/>
    <w:rsid w:val="0008505C"/>
    <w:rsid w:val="000902A7"/>
    <w:rsid w:val="0009577B"/>
    <w:rsid w:val="000A2F14"/>
    <w:rsid w:val="000B43D9"/>
    <w:rsid w:val="000D55FA"/>
    <w:rsid w:val="000E189C"/>
    <w:rsid w:val="000F2342"/>
    <w:rsid w:val="000F4ACE"/>
    <w:rsid w:val="0010532F"/>
    <w:rsid w:val="0011608B"/>
    <w:rsid w:val="0012481F"/>
    <w:rsid w:val="00153820"/>
    <w:rsid w:val="001657A7"/>
    <w:rsid w:val="00175FC1"/>
    <w:rsid w:val="001825CF"/>
    <w:rsid w:val="00185308"/>
    <w:rsid w:val="001864E5"/>
    <w:rsid w:val="00187F99"/>
    <w:rsid w:val="00190218"/>
    <w:rsid w:val="001B6B0F"/>
    <w:rsid w:val="001C2BA9"/>
    <w:rsid w:val="001C3F67"/>
    <w:rsid w:val="001E0177"/>
    <w:rsid w:val="001F2710"/>
    <w:rsid w:val="00200B44"/>
    <w:rsid w:val="002046A5"/>
    <w:rsid w:val="00213B6B"/>
    <w:rsid w:val="002220F8"/>
    <w:rsid w:val="00224CF5"/>
    <w:rsid w:val="00234681"/>
    <w:rsid w:val="00236475"/>
    <w:rsid w:val="00246B10"/>
    <w:rsid w:val="00247710"/>
    <w:rsid w:val="00251333"/>
    <w:rsid w:val="00254047"/>
    <w:rsid w:val="00261D86"/>
    <w:rsid w:val="0026705C"/>
    <w:rsid w:val="002761B6"/>
    <w:rsid w:val="002914D1"/>
    <w:rsid w:val="002921B8"/>
    <w:rsid w:val="00292945"/>
    <w:rsid w:val="00294419"/>
    <w:rsid w:val="002947CB"/>
    <w:rsid w:val="00295288"/>
    <w:rsid w:val="00295D4C"/>
    <w:rsid w:val="002B2710"/>
    <w:rsid w:val="002C2EE3"/>
    <w:rsid w:val="002D08B1"/>
    <w:rsid w:val="002D35EC"/>
    <w:rsid w:val="002D431C"/>
    <w:rsid w:val="002E630F"/>
    <w:rsid w:val="00300571"/>
    <w:rsid w:val="00306A74"/>
    <w:rsid w:val="00314619"/>
    <w:rsid w:val="00323780"/>
    <w:rsid w:val="0032602E"/>
    <w:rsid w:val="00327331"/>
    <w:rsid w:val="00330619"/>
    <w:rsid w:val="00333D3D"/>
    <w:rsid w:val="00336D86"/>
    <w:rsid w:val="00344BF0"/>
    <w:rsid w:val="00347269"/>
    <w:rsid w:val="003533D8"/>
    <w:rsid w:val="00353990"/>
    <w:rsid w:val="00354BA6"/>
    <w:rsid w:val="0036577A"/>
    <w:rsid w:val="003700A6"/>
    <w:rsid w:val="00377CD3"/>
    <w:rsid w:val="00382EC2"/>
    <w:rsid w:val="00396466"/>
    <w:rsid w:val="003A0BA1"/>
    <w:rsid w:val="003A23D0"/>
    <w:rsid w:val="003A4F8F"/>
    <w:rsid w:val="003A53D3"/>
    <w:rsid w:val="003A57BF"/>
    <w:rsid w:val="003A743B"/>
    <w:rsid w:val="003B139C"/>
    <w:rsid w:val="003C3C94"/>
    <w:rsid w:val="003E0A80"/>
    <w:rsid w:val="003F15B9"/>
    <w:rsid w:val="00402941"/>
    <w:rsid w:val="00404125"/>
    <w:rsid w:val="00410432"/>
    <w:rsid w:val="00411079"/>
    <w:rsid w:val="004164A7"/>
    <w:rsid w:val="00416703"/>
    <w:rsid w:val="00420B7C"/>
    <w:rsid w:val="00421774"/>
    <w:rsid w:val="00422847"/>
    <w:rsid w:val="00424449"/>
    <w:rsid w:val="00424595"/>
    <w:rsid w:val="004258FB"/>
    <w:rsid w:val="00433FCD"/>
    <w:rsid w:val="004406EC"/>
    <w:rsid w:val="0044260A"/>
    <w:rsid w:val="004441F9"/>
    <w:rsid w:val="0044643D"/>
    <w:rsid w:val="004572E1"/>
    <w:rsid w:val="004704A4"/>
    <w:rsid w:val="0047327B"/>
    <w:rsid w:val="00476600"/>
    <w:rsid w:val="0048658B"/>
    <w:rsid w:val="00490756"/>
    <w:rsid w:val="004929D7"/>
    <w:rsid w:val="00492E8D"/>
    <w:rsid w:val="004B3DE6"/>
    <w:rsid w:val="004B66CF"/>
    <w:rsid w:val="004C63DF"/>
    <w:rsid w:val="004C72E8"/>
    <w:rsid w:val="004D0826"/>
    <w:rsid w:val="004D08FC"/>
    <w:rsid w:val="004D62B4"/>
    <w:rsid w:val="004E0303"/>
    <w:rsid w:val="004E61FD"/>
    <w:rsid w:val="004F1007"/>
    <w:rsid w:val="00555153"/>
    <w:rsid w:val="00583162"/>
    <w:rsid w:val="00583332"/>
    <w:rsid w:val="00590345"/>
    <w:rsid w:val="00590D68"/>
    <w:rsid w:val="005930CE"/>
    <w:rsid w:val="005B56A9"/>
    <w:rsid w:val="005C0B73"/>
    <w:rsid w:val="005C1DA5"/>
    <w:rsid w:val="005D4504"/>
    <w:rsid w:val="005D5351"/>
    <w:rsid w:val="005D74A6"/>
    <w:rsid w:val="005E4157"/>
    <w:rsid w:val="005F0983"/>
    <w:rsid w:val="005F2483"/>
    <w:rsid w:val="005F713F"/>
    <w:rsid w:val="006071B8"/>
    <w:rsid w:val="006137EB"/>
    <w:rsid w:val="0062239D"/>
    <w:rsid w:val="006307FA"/>
    <w:rsid w:val="00633F30"/>
    <w:rsid w:val="006365BC"/>
    <w:rsid w:val="006476C5"/>
    <w:rsid w:val="0066077C"/>
    <w:rsid w:val="006722E8"/>
    <w:rsid w:val="00674098"/>
    <w:rsid w:val="00680981"/>
    <w:rsid w:val="00686A37"/>
    <w:rsid w:val="00693F84"/>
    <w:rsid w:val="00697360"/>
    <w:rsid w:val="006A3753"/>
    <w:rsid w:val="006A5A44"/>
    <w:rsid w:val="006B0BC9"/>
    <w:rsid w:val="006B5DC5"/>
    <w:rsid w:val="006B62BD"/>
    <w:rsid w:val="006F20EA"/>
    <w:rsid w:val="006F2EB8"/>
    <w:rsid w:val="006F2F4E"/>
    <w:rsid w:val="006F3710"/>
    <w:rsid w:val="006F4A4F"/>
    <w:rsid w:val="006F72EB"/>
    <w:rsid w:val="0070286B"/>
    <w:rsid w:val="00723A83"/>
    <w:rsid w:val="007374BB"/>
    <w:rsid w:val="00737EEA"/>
    <w:rsid w:val="007401B3"/>
    <w:rsid w:val="007501D6"/>
    <w:rsid w:val="00753872"/>
    <w:rsid w:val="00756A76"/>
    <w:rsid w:val="00763DF9"/>
    <w:rsid w:val="00772AE4"/>
    <w:rsid w:val="0077732E"/>
    <w:rsid w:val="00780191"/>
    <w:rsid w:val="007813B8"/>
    <w:rsid w:val="00790F00"/>
    <w:rsid w:val="007916A8"/>
    <w:rsid w:val="00792692"/>
    <w:rsid w:val="00793A95"/>
    <w:rsid w:val="0079459C"/>
    <w:rsid w:val="007A0162"/>
    <w:rsid w:val="007A57FF"/>
    <w:rsid w:val="007B6719"/>
    <w:rsid w:val="007D3B82"/>
    <w:rsid w:val="007E15E3"/>
    <w:rsid w:val="007F3391"/>
    <w:rsid w:val="008038BA"/>
    <w:rsid w:val="008054D6"/>
    <w:rsid w:val="0081006A"/>
    <w:rsid w:val="00824581"/>
    <w:rsid w:val="00831A12"/>
    <w:rsid w:val="00833139"/>
    <w:rsid w:val="008336B7"/>
    <w:rsid w:val="008362F6"/>
    <w:rsid w:val="00843C92"/>
    <w:rsid w:val="008478C7"/>
    <w:rsid w:val="00853CDF"/>
    <w:rsid w:val="008638B2"/>
    <w:rsid w:val="00893901"/>
    <w:rsid w:val="008952FD"/>
    <w:rsid w:val="008A74C2"/>
    <w:rsid w:val="008B4215"/>
    <w:rsid w:val="008C423A"/>
    <w:rsid w:val="008C4F0E"/>
    <w:rsid w:val="008E4908"/>
    <w:rsid w:val="008F0CC6"/>
    <w:rsid w:val="00910D83"/>
    <w:rsid w:val="00912D4E"/>
    <w:rsid w:val="009138CA"/>
    <w:rsid w:val="00913CFA"/>
    <w:rsid w:val="00916F2B"/>
    <w:rsid w:val="00924806"/>
    <w:rsid w:val="00934E72"/>
    <w:rsid w:val="00950438"/>
    <w:rsid w:val="00955E27"/>
    <w:rsid w:val="00963B50"/>
    <w:rsid w:val="0096666F"/>
    <w:rsid w:val="00972258"/>
    <w:rsid w:val="00972BAE"/>
    <w:rsid w:val="00984038"/>
    <w:rsid w:val="009851FC"/>
    <w:rsid w:val="009A7247"/>
    <w:rsid w:val="009B297F"/>
    <w:rsid w:val="009B3364"/>
    <w:rsid w:val="009C223D"/>
    <w:rsid w:val="009F2084"/>
    <w:rsid w:val="009F677F"/>
    <w:rsid w:val="009F7151"/>
    <w:rsid w:val="00A0025D"/>
    <w:rsid w:val="00A13160"/>
    <w:rsid w:val="00A46A24"/>
    <w:rsid w:val="00A47B01"/>
    <w:rsid w:val="00A54489"/>
    <w:rsid w:val="00A56E1F"/>
    <w:rsid w:val="00A60FA6"/>
    <w:rsid w:val="00A652C5"/>
    <w:rsid w:val="00A67693"/>
    <w:rsid w:val="00A76554"/>
    <w:rsid w:val="00A77305"/>
    <w:rsid w:val="00AA3583"/>
    <w:rsid w:val="00AA4A64"/>
    <w:rsid w:val="00AA4AE6"/>
    <w:rsid w:val="00AA5558"/>
    <w:rsid w:val="00AA7ECB"/>
    <w:rsid w:val="00AB06C4"/>
    <w:rsid w:val="00AB3C7B"/>
    <w:rsid w:val="00AC4745"/>
    <w:rsid w:val="00AC686A"/>
    <w:rsid w:val="00AD5B12"/>
    <w:rsid w:val="00AE3F99"/>
    <w:rsid w:val="00AE644E"/>
    <w:rsid w:val="00AE76C1"/>
    <w:rsid w:val="00AF75AB"/>
    <w:rsid w:val="00B038E5"/>
    <w:rsid w:val="00B23570"/>
    <w:rsid w:val="00B325B2"/>
    <w:rsid w:val="00B34BB1"/>
    <w:rsid w:val="00B35A3C"/>
    <w:rsid w:val="00B476A1"/>
    <w:rsid w:val="00B54AE3"/>
    <w:rsid w:val="00B761B9"/>
    <w:rsid w:val="00B854E6"/>
    <w:rsid w:val="00B906EC"/>
    <w:rsid w:val="00B91AAF"/>
    <w:rsid w:val="00B9281D"/>
    <w:rsid w:val="00B936E9"/>
    <w:rsid w:val="00B93856"/>
    <w:rsid w:val="00BA18F8"/>
    <w:rsid w:val="00BC3572"/>
    <w:rsid w:val="00BD49AC"/>
    <w:rsid w:val="00BD4B0D"/>
    <w:rsid w:val="00BD6888"/>
    <w:rsid w:val="00C01900"/>
    <w:rsid w:val="00C054BD"/>
    <w:rsid w:val="00C05D5D"/>
    <w:rsid w:val="00C06139"/>
    <w:rsid w:val="00C07698"/>
    <w:rsid w:val="00C076DE"/>
    <w:rsid w:val="00C14183"/>
    <w:rsid w:val="00C15D35"/>
    <w:rsid w:val="00C15DFC"/>
    <w:rsid w:val="00C27903"/>
    <w:rsid w:val="00C42A21"/>
    <w:rsid w:val="00C51CD3"/>
    <w:rsid w:val="00C54CE5"/>
    <w:rsid w:val="00C61C31"/>
    <w:rsid w:val="00C63FF6"/>
    <w:rsid w:val="00C704D5"/>
    <w:rsid w:val="00C77A6B"/>
    <w:rsid w:val="00C93DD7"/>
    <w:rsid w:val="00CA291F"/>
    <w:rsid w:val="00CA7D0A"/>
    <w:rsid w:val="00CC1025"/>
    <w:rsid w:val="00CD7FEB"/>
    <w:rsid w:val="00CE7E4F"/>
    <w:rsid w:val="00CF0D47"/>
    <w:rsid w:val="00D00BD0"/>
    <w:rsid w:val="00D0435A"/>
    <w:rsid w:val="00D11D79"/>
    <w:rsid w:val="00D24DFF"/>
    <w:rsid w:val="00D300BF"/>
    <w:rsid w:val="00D3131F"/>
    <w:rsid w:val="00D32E21"/>
    <w:rsid w:val="00D37216"/>
    <w:rsid w:val="00D45B55"/>
    <w:rsid w:val="00D47807"/>
    <w:rsid w:val="00D47AA7"/>
    <w:rsid w:val="00D51397"/>
    <w:rsid w:val="00D55E79"/>
    <w:rsid w:val="00D600AB"/>
    <w:rsid w:val="00D703A8"/>
    <w:rsid w:val="00D703B8"/>
    <w:rsid w:val="00D75864"/>
    <w:rsid w:val="00D8786A"/>
    <w:rsid w:val="00D90F41"/>
    <w:rsid w:val="00DB0F86"/>
    <w:rsid w:val="00DB74CD"/>
    <w:rsid w:val="00DB794C"/>
    <w:rsid w:val="00DC0B7C"/>
    <w:rsid w:val="00DC0BF7"/>
    <w:rsid w:val="00DC5B2A"/>
    <w:rsid w:val="00DC6319"/>
    <w:rsid w:val="00DD78A3"/>
    <w:rsid w:val="00DE3FC0"/>
    <w:rsid w:val="00E01E62"/>
    <w:rsid w:val="00E13E3A"/>
    <w:rsid w:val="00E1535B"/>
    <w:rsid w:val="00E1786E"/>
    <w:rsid w:val="00E20D4D"/>
    <w:rsid w:val="00E228EA"/>
    <w:rsid w:val="00E25223"/>
    <w:rsid w:val="00E4438C"/>
    <w:rsid w:val="00E519A5"/>
    <w:rsid w:val="00E72DA5"/>
    <w:rsid w:val="00E73F74"/>
    <w:rsid w:val="00E84F15"/>
    <w:rsid w:val="00E87923"/>
    <w:rsid w:val="00E90D64"/>
    <w:rsid w:val="00E97A07"/>
    <w:rsid w:val="00EB0DB0"/>
    <w:rsid w:val="00EC19F2"/>
    <w:rsid w:val="00ED0778"/>
    <w:rsid w:val="00EF1379"/>
    <w:rsid w:val="00EF6B3B"/>
    <w:rsid w:val="00F027C4"/>
    <w:rsid w:val="00F03714"/>
    <w:rsid w:val="00F10BD4"/>
    <w:rsid w:val="00F16BF6"/>
    <w:rsid w:val="00F37D5C"/>
    <w:rsid w:val="00F44210"/>
    <w:rsid w:val="00F546ED"/>
    <w:rsid w:val="00F626D2"/>
    <w:rsid w:val="00F6498E"/>
    <w:rsid w:val="00F73CAD"/>
    <w:rsid w:val="00F75168"/>
    <w:rsid w:val="00F766E3"/>
    <w:rsid w:val="00F82669"/>
    <w:rsid w:val="00F87FE9"/>
    <w:rsid w:val="00FA0BC2"/>
    <w:rsid w:val="00FA3C0D"/>
    <w:rsid w:val="00FC6AE1"/>
    <w:rsid w:val="00FD3B36"/>
    <w:rsid w:val="00FD3D31"/>
    <w:rsid w:val="00FD4136"/>
    <w:rsid w:val="00FF77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78DD72A-F257-41C9-8E87-046D62630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903"/>
    <w:pPr>
      <w:widowControl w:val="0"/>
      <w:autoSpaceDE w:val="0"/>
      <w:autoSpaceDN w:val="0"/>
      <w:adjustRightInd w:val="0"/>
    </w:pPr>
    <w:rPr>
      <w:sz w:val="24"/>
      <w:szCs w:val="24"/>
    </w:rPr>
  </w:style>
  <w:style w:type="paragraph" w:styleId="Heading1">
    <w:name w:val="heading 1"/>
    <w:basedOn w:val="Normal"/>
    <w:next w:val="Normal"/>
    <w:link w:val="Heading1Char"/>
    <w:uiPriority w:val="99"/>
    <w:qFormat/>
    <w:rsid w:val="00B9281D"/>
    <w:pPr>
      <w:keepNext/>
      <w:ind w:left="720" w:hanging="720"/>
      <w:jc w:val="center"/>
      <w:outlineLvl w:val="0"/>
    </w:pPr>
    <w:rPr>
      <w:rFonts w:ascii="Arial" w:eastAsia="Batang"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9281D"/>
    <w:rPr>
      <w:rFonts w:ascii="Arial" w:eastAsia="Batang" w:hAnsi="Arial" w:cs="Arial"/>
      <w:b/>
      <w:bCs/>
      <w:sz w:val="24"/>
      <w:szCs w:val="24"/>
      <w:lang w:val="en-US" w:eastAsia="en-US"/>
    </w:rPr>
  </w:style>
  <w:style w:type="paragraph" w:customStyle="1" w:styleId="Level1">
    <w:name w:val="Level 1"/>
    <w:uiPriority w:val="99"/>
    <w:rsid w:val="00C27903"/>
    <w:pPr>
      <w:widowControl w:val="0"/>
      <w:autoSpaceDE w:val="0"/>
      <w:autoSpaceDN w:val="0"/>
      <w:adjustRightInd w:val="0"/>
      <w:ind w:left="720"/>
      <w:jc w:val="both"/>
    </w:pPr>
    <w:rPr>
      <w:sz w:val="24"/>
      <w:szCs w:val="24"/>
    </w:rPr>
  </w:style>
  <w:style w:type="paragraph" w:customStyle="1" w:styleId="Level2">
    <w:name w:val="Level 2"/>
    <w:uiPriority w:val="99"/>
    <w:rsid w:val="00C27903"/>
    <w:pPr>
      <w:widowControl w:val="0"/>
      <w:autoSpaceDE w:val="0"/>
      <w:autoSpaceDN w:val="0"/>
      <w:adjustRightInd w:val="0"/>
      <w:ind w:left="1440"/>
      <w:jc w:val="both"/>
    </w:pPr>
    <w:rPr>
      <w:sz w:val="24"/>
      <w:szCs w:val="24"/>
    </w:rPr>
  </w:style>
  <w:style w:type="paragraph" w:customStyle="1" w:styleId="Level3">
    <w:name w:val="Level 3"/>
    <w:uiPriority w:val="99"/>
    <w:rsid w:val="00C27903"/>
    <w:pPr>
      <w:widowControl w:val="0"/>
      <w:autoSpaceDE w:val="0"/>
      <w:autoSpaceDN w:val="0"/>
      <w:adjustRightInd w:val="0"/>
      <w:ind w:left="2160"/>
      <w:jc w:val="both"/>
    </w:pPr>
    <w:rPr>
      <w:sz w:val="24"/>
      <w:szCs w:val="24"/>
    </w:rPr>
  </w:style>
  <w:style w:type="paragraph" w:customStyle="1" w:styleId="Level4">
    <w:name w:val="Level 4"/>
    <w:uiPriority w:val="99"/>
    <w:rsid w:val="00C27903"/>
    <w:pPr>
      <w:widowControl w:val="0"/>
      <w:autoSpaceDE w:val="0"/>
      <w:autoSpaceDN w:val="0"/>
      <w:adjustRightInd w:val="0"/>
      <w:ind w:left="2880"/>
      <w:jc w:val="both"/>
    </w:pPr>
    <w:rPr>
      <w:sz w:val="24"/>
      <w:szCs w:val="24"/>
    </w:rPr>
  </w:style>
  <w:style w:type="paragraph" w:customStyle="1" w:styleId="Level5">
    <w:name w:val="Level 5"/>
    <w:uiPriority w:val="99"/>
    <w:rsid w:val="00C27903"/>
    <w:pPr>
      <w:widowControl w:val="0"/>
      <w:autoSpaceDE w:val="0"/>
      <w:autoSpaceDN w:val="0"/>
      <w:adjustRightInd w:val="0"/>
      <w:ind w:left="3600"/>
      <w:jc w:val="both"/>
    </w:pPr>
    <w:rPr>
      <w:sz w:val="24"/>
      <w:szCs w:val="24"/>
    </w:rPr>
  </w:style>
  <w:style w:type="paragraph" w:customStyle="1" w:styleId="Level6">
    <w:name w:val="Level 6"/>
    <w:uiPriority w:val="99"/>
    <w:rsid w:val="00C27903"/>
    <w:pPr>
      <w:widowControl w:val="0"/>
      <w:autoSpaceDE w:val="0"/>
      <w:autoSpaceDN w:val="0"/>
      <w:adjustRightInd w:val="0"/>
      <w:ind w:left="4320"/>
      <w:jc w:val="both"/>
    </w:pPr>
    <w:rPr>
      <w:sz w:val="24"/>
      <w:szCs w:val="24"/>
    </w:rPr>
  </w:style>
  <w:style w:type="paragraph" w:customStyle="1" w:styleId="Level7">
    <w:name w:val="Level 7"/>
    <w:uiPriority w:val="99"/>
    <w:rsid w:val="00C27903"/>
    <w:pPr>
      <w:widowControl w:val="0"/>
      <w:autoSpaceDE w:val="0"/>
      <w:autoSpaceDN w:val="0"/>
      <w:adjustRightInd w:val="0"/>
      <w:ind w:left="5040"/>
      <w:jc w:val="both"/>
    </w:pPr>
    <w:rPr>
      <w:sz w:val="24"/>
      <w:szCs w:val="24"/>
    </w:rPr>
  </w:style>
  <w:style w:type="paragraph" w:customStyle="1" w:styleId="Level8">
    <w:name w:val="Level 8"/>
    <w:uiPriority w:val="99"/>
    <w:rsid w:val="00C27903"/>
    <w:pPr>
      <w:widowControl w:val="0"/>
      <w:autoSpaceDE w:val="0"/>
      <w:autoSpaceDN w:val="0"/>
      <w:adjustRightInd w:val="0"/>
      <w:ind w:left="5760"/>
      <w:jc w:val="both"/>
    </w:pPr>
    <w:rPr>
      <w:sz w:val="24"/>
      <w:szCs w:val="24"/>
    </w:rPr>
  </w:style>
  <w:style w:type="paragraph" w:customStyle="1" w:styleId="Level9">
    <w:name w:val="Level 9"/>
    <w:uiPriority w:val="99"/>
    <w:rsid w:val="00C27903"/>
    <w:pPr>
      <w:widowControl w:val="0"/>
      <w:autoSpaceDE w:val="0"/>
      <w:autoSpaceDN w:val="0"/>
      <w:adjustRightInd w:val="0"/>
      <w:ind w:left="6480"/>
      <w:jc w:val="both"/>
    </w:pPr>
    <w:rPr>
      <w:sz w:val="24"/>
      <w:szCs w:val="24"/>
    </w:rPr>
  </w:style>
  <w:style w:type="paragraph" w:customStyle="1" w:styleId="17">
    <w:name w:val="_17"/>
    <w:uiPriority w:val="99"/>
    <w:rsid w:val="00C27903"/>
    <w:pPr>
      <w:widowControl w:val="0"/>
      <w:autoSpaceDE w:val="0"/>
      <w:autoSpaceDN w:val="0"/>
      <w:adjustRightInd w:val="0"/>
      <w:jc w:val="both"/>
    </w:pPr>
    <w:rPr>
      <w:sz w:val="24"/>
      <w:szCs w:val="24"/>
    </w:rPr>
  </w:style>
  <w:style w:type="paragraph" w:customStyle="1" w:styleId="16">
    <w:name w:val="_16"/>
    <w:uiPriority w:val="99"/>
    <w:rsid w:val="00C2790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sz w:val="24"/>
      <w:szCs w:val="24"/>
    </w:rPr>
  </w:style>
  <w:style w:type="paragraph" w:customStyle="1" w:styleId="15">
    <w:name w:val="_15"/>
    <w:uiPriority w:val="99"/>
    <w:rsid w:val="00C27903"/>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sz w:val="24"/>
      <w:szCs w:val="24"/>
    </w:rPr>
  </w:style>
  <w:style w:type="paragraph" w:customStyle="1" w:styleId="14">
    <w:name w:val="_14"/>
    <w:uiPriority w:val="99"/>
    <w:rsid w:val="00C27903"/>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sz w:val="24"/>
      <w:szCs w:val="24"/>
    </w:rPr>
  </w:style>
  <w:style w:type="paragraph" w:customStyle="1" w:styleId="13">
    <w:name w:val="_13"/>
    <w:uiPriority w:val="99"/>
    <w:rsid w:val="00C27903"/>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sz w:val="24"/>
      <w:szCs w:val="24"/>
    </w:rPr>
  </w:style>
  <w:style w:type="paragraph" w:customStyle="1" w:styleId="12">
    <w:name w:val="_12"/>
    <w:uiPriority w:val="99"/>
    <w:rsid w:val="00C27903"/>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sz w:val="24"/>
      <w:szCs w:val="24"/>
    </w:rPr>
  </w:style>
  <w:style w:type="paragraph" w:customStyle="1" w:styleId="11">
    <w:name w:val="_11"/>
    <w:uiPriority w:val="99"/>
    <w:rsid w:val="00C27903"/>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sz w:val="24"/>
      <w:szCs w:val="24"/>
    </w:rPr>
  </w:style>
  <w:style w:type="paragraph" w:customStyle="1" w:styleId="10">
    <w:name w:val="_10"/>
    <w:uiPriority w:val="99"/>
    <w:rsid w:val="00C27903"/>
    <w:pPr>
      <w:widowControl w:val="0"/>
      <w:tabs>
        <w:tab w:val="left" w:pos="5760"/>
        <w:tab w:val="left" w:pos="6480"/>
        <w:tab w:val="left" w:pos="7200"/>
        <w:tab w:val="left" w:pos="7920"/>
        <w:tab w:val="left" w:pos="8640"/>
      </w:tabs>
      <w:autoSpaceDE w:val="0"/>
      <w:autoSpaceDN w:val="0"/>
      <w:adjustRightInd w:val="0"/>
      <w:ind w:left="5760" w:hanging="720"/>
      <w:jc w:val="both"/>
    </w:pPr>
    <w:rPr>
      <w:sz w:val="24"/>
      <w:szCs w:val="24"/>
    </w:rPr>
  </w:style>
  <w:style w:type="paragraph" w:customStyle="1" w:styleId="Quick1">
    <w:name w:val="Quick 1."/>
    <w:uiPriority w:val="99"/>
    <w:rsid w:val="00C27903"/>
    <w:pPr>
      <w:widowControl w:val="0"/>
      <w:autoSpaceDE w:val="0"/>
      <w:autoSpaceDN w:val="0"/>
      <w:adjustRightInd w:val="0"/>
      <w:ind w:left="-1440"/>
      <w:jc w:val="both"/>
    </w:pPr>
    <w:rPr>
      <w:sz w:val="24"/>
      <w:szCs w:val="24"/>
    </w:rPr>
  </w:style>
  <w:style w:type="paragraph" w:customStyle="1" w:styleId="Quicka">
    <w:name w:val="Quick a."/>
    <w:uiPriority w:val="99"/>
    <w:rsid w:val="00C27903"/>
    <w:pPr>
      <w:widowControl w:val="0"/>
      <w:autoSpaceDE w:val="0"/>
      <w:autoSpaceDN w:val="0"/>
      <w:adjustRightInd w:val="0"/>
      <w:ind w:left="-1440"/>
      <w:jc w:val="both"/>
    </w:pPr>
    <w:rPr>
      <w:sz w:val="24"/>
      <w:szCs w:val="24"/>
    </w:rPr>
  </w:style>
  <w:style w:type="paragraph" w:customStyle="1" w:styleId="26">
    <w:name w:val="_26"/>
    <w:uiPriority w:val="99"/>
    <w:rsid w:val="00C27903"/>
    <w:pPr>
      <w:widowControl w:val="0"/>
      <w:autoSpaceDE w:val="0"/>
      <w:autoSpaceDN w:val="0"/>
      <w:adjustRightInd w:val="0"/>
      <w:jc w:val="both"/>
    </w:pPr>
    <w:rPr>
      <w:sz w:val="24"/>
      <w:szCs w:val="24"/>
    </w:rPr>
  </w:style>
  <w:style w:type="paragraph" w:customStyle="1" w:styleId="25">
    <w:name w:val="_25"/>
    <w:uiPriority w:val="99"/>
    <w:rsid w:val="00C2790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sz w:val="24"/>
      <w:szCs w:val="24"/>
    </w:rPr>
  </w:style>
  <w:style w:type="paragraph" w:customStyle="1" w:styleId="24">
    <w:name w:val="_24"/>
    <w:uiPriority w:val="99"/>
    <w:rsid w:val="00C27903"/>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sz w:val="24"/>
      <w:szCs w:val="24"/>
    </w:rPr>
  </w:style>
  <w:style w:type="paragraph" w:customStyle="1" w:styleId="23">
    <w:name w:val="_23"/>
    <w:uiPriority w:val="99"/>
    <w:rsid w:val="00C27903"/>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sz w:val="24"/>
      <w:szCs w:val="24"/>
    </w:rPr>
  </w:style>
  <w:style w:type="paragraph" w:customStyle="1" w:styleId="22">
    <w:name w:val="_22"/>
    <w:uiPriority w:val="99"/>
    <w:rsid w:val="00C27903"/>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sz w:val="24"/>
      <w:szCs w:val="24"/>
    </w:rPr>
  </w:style>
  <w:style w:type="paragraph" w:customStyle="1" w:styleId="21">
    <w:name w:val="_21"/>
    <w:uiPriority w:val="99"/>
    <w:rsid w:val="00C27903"/>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sz w:val="24"/>
      <w:szCs w:val="24"/>
    </w:rPr>
  </w:style>
  <w:style w:type="paragraph" w:customStyle="1" w:styleId="20">
    <w:name w:val="_20"/>
    <w:uiPriority w:val="99"/>
    <w:rsid w:val="00C27903"/>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sz w:val="24"/>
      <w:szCs w:val="24"/>
    </w:rPr>
  </w:style>
  <w:style w:type="paragraph" w:customStyle="1" w:styleId="19">
    <w:name w:val="_19"/>
    <w:uiPriority w:val="99"/>
    <w:rsid w:val="00C27903"/>
    <w:pPr>
      <w:widowControl w:val="0"/>
      <w:tabs>
        <w:tab w:val="left" w:pos="5760"/>
        <w:tab w:val="left" w:pos="6480"/>
        <w:tab w:val="left" w:pos="7200"/>
        <w:tab w:val="left" w:pos="7920"/>
        <w:tab w:val="left" w:pos="8640"/>
      </w:tabs>
      <w:autoSpaceDE w:val="0"/>
      <w:autoSpaceDN w:val="0"/>
      <w:adjustRightInd w:val="0"/>
      <w:ind w:left="5760" w:hanging="720"/>
      <w:jc w:val="both"/>
    </w:pPr>
    <w:rPr>
      <w:sz w:val="24"/>
      <w:szCs w:val="24"/>
    </w:rPr>
  </w:style>
  <w:style w:type="paragraph" w:customStyle="1" w:styleId="18">
    <w:name w:val="_18"/>
    <w:uiPriority w:val="99"/>
    <w:rsid w:val="00C27903"/>
    <w:pPr>
      <w:widowControl w:val="0"/>
      <w:tabs>
        <w:tab w:val="left" w:pos="6480"/>
        <w:tab w:val="left" w:pos="7200"/>
        <w:tab w:val="left" w:pos="7920"/>
        <w:tab w:val="left" w:pos="8640"/>
      </w:tabs>
      <w:autoSpaceDE w:val="0"/>
      <w:autoSpaceDN w:val="0"/>
      <w:adjustRightInd w:val="0"/>
      <w:ind w:left="6480" w:hanging="720"/>
      <w:jc w:val="both"/>
    </w:pPr>
    <w:rPr>
      <w:sz w:val="24"/>
      <w:szCs w:val="24"/>
    </w:rPr>
  </w:style>
  <w:style w:type="paragraph" w:customStyle="1" w:styleId="9">
    <w:name w:val="_9"/>
    <w:uiPriority w:val="99"/>
    <w:rsid w:val="00C27903"/>
    <w:pPr>
      <w:widowControl w:val="0"/>
      <w:tabs>
        <w:tab w:val="left" w:pos="6480"/>
        <w:tab w:val="left" w:pos="7200"/>
        <w:tab w:val="left" w:pos="7920"/>
        <w:tab w:val="left" w:pos="8640"/>
      </w:tabs>
      <w:autoSpaceDE w:val="0"/>
      <w:autoSpaceDN w:val="0"/>
      <w:adjustRightInd w:val="0"/>
      <w:ind w:left="6480" w:hanging="720"/>
      <w:jc w:val="both"/>
    </w:pPr>
    <w:rPr>
      <w:sz w:val="24"/>
      <w:szCs w:val="24"/>
    </w:rPr>
  </w:style>
  <w:style w:type="paragraph" w:customStyle="1" w:styleId="8">
    <w:name w:val="_8"/>
    <w:uiPriority w:val="99"/>
    <w:rsid w:val="00C27903"/>
    <w:pPr>
      <w:widowControl w:val="0"/>
      <w:autoSpaceDE w:val="0"/>
      <w:autoSpaceDN w:val="0"/>
      <w:adjustRightInd w:val="0"/>
      <w:jc w:val="both"/>
    </w:pPr>
    <w:rPr>
      <w:sz w:val="24"/>
      <w:szCs w:val="24"/>
    </w:rPr>
  </w:style>
  <w:style w:type="paragraph" w:customStyle="1" w:styleId="7">
    <w:name w:val="_7"/>
    <w:uiPriority w:val="99"/>
    <w:rsid w:val="00C2790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sz w:val="24"/>
      <w:szCs w:val="24"/>
    </w:rPr>
  </w:style>
  <w:style w:type="paragraph" w:customStyle="1" w:styleId="6">
    <w:name w:val="_6"/>
    <w:uiPriority w:val="99"/>
    <w:rsid w:val="00C27903"/>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sz w:val="24"/>
      <w:szCs w:val="24"/>
    </w:rPr>
  </w:style>
  <w:style w:type="paragraph" w:customStyle="1" w:styleId="5">
    <w:name w:val="_5"/>
    <w:uiPriority w:val="99"/>
    <w:rsid w:val="00C27903"/>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sz w:val="24"/>
      <w:szCs w:val="24"/>
    </w:rPr>
  </w:style>
  <w:style w:type="paragraph" w:customStyle="1" w:styleId="4">
    <w:name w:val="_4"/>
    <w:uiPriority w:val="99"/>
    <w:rsid w:val="00C27903"/>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sz w:val="24"/>
      <w:szCs w:val="24"/>
    </w:rPr>
  </w:style>
  <w:style w:type="paragraph" w:customStyle="1" w:styleId="3">
    <w:name w:val="_3"/>
    <w:uiPriority w:val="99"/>
    <w:rsid w:val="00C27903"/>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sz w:val="24"/>
      <w:szCs w:val="24"/>
    </w:rPr>
  </w:style>
  <w:style w:type="paragraph" w:customStyle="1" w:styleId="2">
    <w:name w:val="_2"/>
    <w:uiPriority w:val="99"/>
    <w:rsid w:val="00C27903"/>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sz w:val="24"/>
      <w:szCs w:val="24"/>
    </w:rPr>
  </w:style>
  <w:style w:type="paragraph" w:customStyle="1" w:styleId="1">
    <w:name w:val="_1"/>
    <w:uiPriority w:val="99"/>
    <w:rsid w:val="00C27903"/>
    <w:pPr>
      <w:widowControl w:val="0"/>
      <w:tabs>
        <w:tab w:val="left" w:pos="5760"/>
        <w:tab w:val="left" w:pos="6480"/>
        <w:tab w:val="left" w:pos="7200"/>
        <w:tab w:val="left" w:pos="7920"/>
        <w:tab w:val="left" w:pos="8640"/>
      </w:tabs>
      <w:autoSpaceDE w:val="0"/>
      <w:autoSpaceDN w:val="0"/>
      <w:adjustRightInd w:val="0"/>
      <w:ind w:left="5760" w:hanging="720"/>
      <w:jc w:val="both"/>
    </w:pPr>
    <w:rPr>
      <w:sz w:val="24"/>
      <w:szCs w:val="24"/>
    </w:rPr>
  </w:style>
  <w:style w:type="paragraph" w:customStyle="1" w:styleId="a">
    <w:name w:val="_"/>
    <w:uiPriority w:val="99"/>
    <w:rsid w:val="00C27903"/>
    <w:pPr>
      <w:widowControl w:val="0"/>
      <w:tabs>
        <w:tab w:val="left" w:pos="6480"/>
        <w:tab w:val="left" w:pos="7200"/>
        <w:tab w:val="left" w:pos="7920"/>
        <w:tab w:val="left" w:pos="8640"/>
      </w:tabs>
      <w:autoSpaceDE w:val="0"/>
      <w:autoSpaceDN w:val="0"/>
      <w:adjustRightInd w:val="0"/>
      <w:ind w:left="6480" w:hanging="720"/>
      <w:jc w:val="both"/>
    </w:pPr>
    <w:rPr>
      <w:sz w:val="24"/>
      <w:szCs w:val="24"/>
    </w:rPr>
  </w:style>
  <w:style w:type="paragraph" w:customStyle="1" w:styleId="DefinitionT">
    <w:name w:val="Definition T"/>
    <w:uiPriority w:val="99"/>
    <w:rsid w:val="00C27903"/>
    <w:pPr>
      <w:widowControl w:val="0"/>
      <w:autoSpaceDE w:val="0"/>
      <w:autoSpaceDN w:val="0"/>
      <w:adjustRightInd w:val="0"/>
    </w:pPr>
    <w:rPr>
      <w:sz w:val="24"/>
      <w:szCs w:val="24"/>
    </w:rPr>
  </w:style>
  <w:style w:type="paragraph" w:customStyle="1" w:styleId="DefinitionL">
    <w:name w:val="Definition L"/>
    <w:uiPriority w:val="99"/>
    <w:rsid w:val="00C2790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jc w:val="both"/>
    </w:pPr>
    <w:rPr>
      <w:sz w:val="24"/>
      <w:szCs w:val="24"/>
    </w:rPr>
  </w:style>
  <w:style w:type="character" w:customStyle="1" w:styleId="Definition">
    <w:name w:val="Definition"/>
    <w:uiPriority w:val="99"/>
    <w:rsid w:val="00C27903"/>
    <w:rPr>
      <w:i/>
      <w:iCs/>
    </w:rPr>
  </w:style>
  <w:style w:type="paragraph" w:customStyle="1" w:styleId="H1">
    <w:name w:val="H1"/>
    <w:uiPriority w:val="99"/>
    <w:rsid w:val="00C27903"/>
    <w:pPr>
      <w:widowControl w:val="0"/>
      <w:autoSpaceDE w:val="0"/>
      <w:autoSpaceDN w:val="0"/>
      <w:adjustRightInd w:val="0"/>
    </w:pPr>
    <w:rPr>
      <w:b/>
      <w:bCs/>
      <w:sz w:val="48"/>
      <w:szCs w:val="48"/>
    </w:rPr>
  </w:style>
  <w:style w:type="paragraph" w:customStyle="1" w:styleId="H2">
    <w:name w:val="H2"/>
    <w:uiPriority w:val="99"/>
    <w:rsid w:val="00C27903"/>
    <w:pPr>
      <w:widowControl w:val="0"/>
      <w:autoSpaceDE w:val="0"/>
      <w:autoSpaceDN w:val="0"/>
      <w:adjustRightInd w:val="0"/>
    </w:pPr>
    <w:rPr>
      <w:b/>
      <w:bCs/>
      <w:sz w:val="36"/>
      <w:szCs w:val="36"/>
    </w:rPr>
  </w:style>
  <w:style w:type="paragraph" w:customStyle="1" w:styleId="H3">
    <w:name w:val="H3"/>
    <w:uiPriority w:val="99"/>
    <w:rsid w:val="00C27903"/>
    <w:pPr>
      <w:widowControl w:val="0"/>
      <w:autoSpaceDE w:val="0"/>
      <w:autoSpaceDN w:val="0"/>
      <w:adjustRightInd w:val="0"/>
    </w:pPr>
    <w:rPr>
      <w:b/>
      <w:bCs/>
      <w:sz w:val="28"/>
      <w:szCs w:val="28"/>
    </w:rPr>
  </w:style>
  <w:style w:type="paragraph" w:customStyle="1" w:styleId="H4">
    <w:name w:val="H4"/>
    <w:uiPriority w:val="99"/>
    <w:rsid w:val="00C27903"/>
    <w:pPr>
      <w:widowControl w:val="0"/>
      <w:autoSpaceDE w:val="0"/>
      <w:autoSpaceDN w:val="0"/>
      <w:adjustRightInd w:val="0"/>
    </w:pPr>
    <w:rPr>
      <w:b/>
      <w:bCs/>
      <w:sz w:val="24"/>
      <w:szCs w:val="24"/>
    </w:rPr>
  </w:style>
  <w:style w:type="paragraph" w:customStyle="1" w:styleId="H5">
    <w:name w:val="H5"/>
    <w:uiPriority w:val="99"/>
    <w:rsid w:val="00C27903"/>
    <w:pPr>
      <w:widowControl w:val="0"/>
      <w:autoSpaceDE w:val="0"/>
      <w:autoSpaceDN w:val="0"/>
      <w:adjustRightInd w:val="0"/>
    </w:pPr>
    <w:rPr>
      <w:b/>
      <w:bCs/>
    </w:rPr>
  </w:style>
  <w:style w:type="paragraph" w:customStyle="1" w:styleId="H6">
    <w:name w:val="H6"/>
    <w:uiPriority w:val="99"/>
    <w:rsid w:val="00C27903"/>
    <w:pPr>
      <w:widowControl w:val="0"/>
      <w:autoSpaceDE w:val="0"/>
      <w:autoSpaceDN w:val="0"/>
      <w:adjustRightInd w:val="0"/>
    </w:pPr>
    <w:rPr>
      <w:b/>
      <w:bCs/>
      <w:sz w:val="16"/>
      <w:szCs w:val="16"/>
    </w:rPr>
  </w:style>
  <w:style w:type="paragraph" w:customStyle="1" w:styleId="Address">
    <w:name w:val="Address"/>
    <w:uiPriority w:val="99"/>
    <w:rsid w:val="00C27903"/>
    <w:pPr>
      <w:widowControl w:val="0"/>
      <w:autoSpaceDE w:val="0"/>
      <w:autoSpaceDN w:val="0"/>
      <w:adjustRightInd w:val="0"/>
    </w:pPr>
    <w:rPr>
      <w:i/>
      <w:iCs/>
      <w:sz w:val="24"/>
      <w:szCs w:val="24"/>
    </w:rPr>
  </w:style>
  <w:style w:type="paragraph" w:customStyle="1" w:styleId="Blockquote">
    <w:name w:val="Blockquote"/>
    <w:uiPriority w:val="99"/>
    <w:rsid w:val="00C2790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ight="360"/>
      <w:jc w:val="both"/>
    </w:pPr>
    <w:rPr>
      <w:sz w:val="24"/>
      <w:szCs w:val="24"/>
    </w:rPr>
  </w:style>
  <w:style w:type="character" w:customStyle="1" w:styleId="CITE">
    <w:name w:val="CITE"/>
    <w:uiPriority w:val="99"/>
    <w:rsid w:val="00C27903"/>
    <w:rPr>
      <w:i/>
      <w:iCs/>
    </w:rPr>
  </w:style>
  <w:style w:type="character" w:customStyle="1" w:styleId="CODE">
    <w:name w:val="CODE"/>
    <w:uiPriority w:val="99"/>
    <w:rsid w:val="00C27903"/>
    <w:rPr>
      <w:rFonts w:ascii="Courier New" w:hAnsi="Courier New" w:cs="Courier New"/>
      <w:sz w:val="20"/>
      <w:szCs w:val="20"/>
    </w:rPr>
  </w:style>
  <w:style w:type="character" w:styleId="Emphasis">
    <w:name w:val="Emphasis"/>
    <w:basedOn w:val="DefaultParagraphFont"/>
    <w:uiPriority w:val="99"/>
    <w:qFormat/>
    <w:rsid w:val="00C27903"/>
    <w:rPr>
      <w:i/>
      <w:iCs/>
    </w:rPr>
  </w:style>
  <w:style w:type="character" w:styleId="Hyperlink">
    <w:name w:val="Hyperlink"/>
    <w:basedOn w:val="DefaultParagraphFont"/>
    <w:uiPriority w:val="99"/>
    <w:rsid w:val="00C27903"/>
    <w:rPr>
      <w:color w:val="0000FF"/>
      <w:u w:val="single"/>
    </w:rPr>
  </w:style>
  <w:style w:type="character" w:customStyle="1" w:styleId="FollowedHype">
    <w:name w:val="FollowedHype"/>
    <w:uiPriority w:val="99"/>
    <w:rsid w:val="00C27903"/>
    <w:rPr>
      <w:color w:val="800080"/>
      <w:u w:val="single"/>
    </w:rPr>
  </w:style>
  <w:style w:type="character" w:customStyle="1" w:styleId="Keyboard">
    <w:name w:val="Keyboard"/>
    <w:uiPriority w:val="99"/>
    <w:rsid w:val="00C27903"/>
    <w:rPr>
      <w:rFonts w:ascii="Courier New" w:hAnsi="Courier New" w:cs="Courier New"/>
      <w:b/>
      <w:bCs/>
      <w:sz w:val="20"/>
      <w:szCs w:val="20"/>
    </w:rPr>
  </w:style>
  <w:style w:type="paragraph" w:customStyle="1" w:styleId="Preformatted">
    <w:name w:val="Preformatted"/>
    <w:uiPriority w:val="99"/>
    <w:rsid w:val="00C27903"/>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jc w:val="both"/>
    </w:pPr>
    <w:rPr>
      <w:rFonts w:ascii="Courier New" w:hAnsi="Courier New" w:cs="Courier New"/>
    </w:rPr>
  </w:style>
  <w:style w:type="paragraph" w:customStyle="1" w:styleId="zBottomof">
    <w:name w:val="zBottom of"/>
    <w:uiPriority w:val="99"/>
    <w:rsid w:val="00C27903"/>
    <w:pPr>
      <w:widowControl w:val="0"/>
      <w:pBdr>
        <w:top w:val="double" w:sz="8" w:space="0" w:color="000000"/>
      </w:pBdr>
      <w:autoSpaceDE w:val="0"/>
      <w:autoSpaceDN w:val="0"/>
      <w:adjustRightInd w:val="0"/>
      <w:jc w:val="center"/>
    </w:pPr>
    <w:rPr>
      <w:rFonts w:ascii="Arial" w:hAnsi="Arial" w:cs="Arial"/>
      <w:sz w:val="16"/>
      <w:szCs w:val="16"/>
    </w:rPr>
  </w:style>
  <w:style w:type="paragraph" w:customStyle="1" w:styleId="zTopofFor">
    <w:name w:val="zTop of For"/>
    <w:uiPriority w:val="99"/>
    <w:rsid w:val="00C27903"/>
    <w:pPr>
      <w:widowControl w:val="0"/>
      <w:autoSpaceDE w:val="0"/>
      <w:autoSpaceDN w:val="0"/>
      <w:adjustRightInd w:val="0"/>
      <w:jc w:val="center"/>
    </w:pPr>
    <w:rPr>
      <w:rFonts w:ascii="Arial" w:hAnsi="Arial" w:cs="Arial"/>
      <w:sz w:val="16"/>
      <w:szCs w:val="16"/>
    </w:rPr>
  </w:style>
  <w:style w:type="character" w:customStyle="1" w:styleId="Sample">
    <w:name w:val="Sample"/>
    <w:uiPriority w:val="99"/>
    <w:rsid w:val="00C27903"/>
    <w:rPr>
      <w:rFonts w:ascii="Courier New" w:hAnsi="Courier New" w:cs="Courier New"/>
    </w:rPr>
  </w:style>
  <w:style w:type="character" w:styleId="Strong">
    <w:name w:val="Strong"/>
    <w:basedOn w:val="DefaultParagraphFont"/>
    <w:uiPriority w:val="99"/>
    <w:qFormat/>
    <w:rsid w:val="00C27903"/>
    <w:rPr>
      <w:b/>
      <w:bCs/>
    </w:rPr>
  </w:style>
  <w:style w:type="character" w:customStyle="1" w:styleId="Typewriter">
    <w:name w:val="Typewriter"/>
    <w:uiPriority w:val="99"/>
    <w:rsid w:val="00C27903"/>
    <w:rPr>
      <w:rFonts w:ascii="Courier New" w:hAnsi="Courier New" w:cs="Courier New"/>
      <w:sz w:val="20"/>
      <w:szCs w:val="20"/>
    </w:rPr>
  </w:style>
  <w:style w:type="character" w:customStyle="1" w:styleId="Variable">
    <w:name w:val="Variable"/>
    <w:uiPriority w:val="99"/>
    <w:rsid w:val="00C27903"/>
    <w:rPr>
      <w:i/>
      <w:iCs/>
    </w:rPr>
  </w:style>
  <w:style w:type="character" w:customStyle="1" w:styleId="HTMLMarkup">
    <w:name w:val="HTML Markup"/>
    <w:uiPriority w:val="99"/>
    <w:rsid w:val="00C27903"/>
    <w:rPr>
      <w:vanish/>
      <w:color w:val="FF0000"/>
    </w:rPr>
  </w:style>
  <w:style w:type="character" w:customStyle="1" w:styleId="Comment">
    <w:name w:val="Comment"/>
    <w:uiPriority w:val="99"/>
    <w:rsid w:val="00C27903"/>
  </w:style>
  <w:style w:type="character" w:customStyle="1" w:styleId="SYSHYPERTEXT">
    <w:name w:val="SYS_HYPERTEXT"/>
    <w:uiPriority w:val="99"/>
    <w:rsid w:val="00C27903"/>
    <w:rPr>
      <w:color w:val="0000FF"/>
      <w:u w:val="single"/>
    </w:rPr>
  </w:style>
  <w:style w:type="paragraph" w:customStyle="1" w:styleId="msonormal21">
    <w:name w:val="msonormal21"/>
    <w:basedOn w:val="Normal"/>
    <w:next w:val="Normal"/>
    <w:uiPriority w:val="99"/>
    <w:rsid w:val="00B9281D"/>
    <w:pPr>
      <w:ind w:left="720" w:hanging="720"/>
    </w:pPr>
    <w:rPr>
      <w:rFonts w:ascii="Arial" w:eastAsia="Batang" w:hAnsi="Arial" w:cs="Arial"/>
    </w:rPr>
  </w:style>
  <w:style w:type="paragraph" w:styleId="ListParagraph">
    <w:name w:val="List Paragraph"/>
    <w:basedOn w:val="Normal"/>
    <w:uiPriority w:val="99"/>
    <w:qFormat/>
    <w:rsid w:val="00B9281D"/>
    <w:pPr>
      <w:ind w:left="720" w:hanging="720"/>
    </w:pPr>
    <w:rPr>
      <w:rFonts w:ascii="Arial" w:eastAsia="Batang" w:hAnsi="Arial" w:cs="Arial"/>
    </w:rPr>
  </w:style>
  <w:style w:type="paragraph" w:styleId="Header">
    <w:name w:val="header"/>
    <w:basedOn w:val="Normal"/>
    <w:link w:val="HeaderChar"/>
    <w:uiPriority w:val="99"/>
    <w:rsid w:val="00790F00"/>
    <w:pPr>
      <w:tabs>
        <w:tab w:val="center" w:pos="4320"/>
        <w:tab w:val="right" w:pos="8640"/>
      </w:tabs>
    </w:pPr>
  </w:style>
  <w:style w:type="character" w:customStyle="1" w:styleId="HeaderChar">
    <w:name w:val="Header Char"/>
    <w:basedOn w:val="DefaultParagraphFont"/>
    <w:link w:val="Header"/>
    <w:uiPriority w:val="99"/>
    <w:rsid w:val="00853CDF"/>
    <w:rPr>
      <w:sz w:val="24"/>
      <w:szCs w:val="24"/>
    </w:rPr>
  </w:style>
  <w:style w:type="paragraph" w:styleId="Footer">
    <w:name w:val="footer"/>
    <w:basedOn w:val="Normal"/>
    <w:link w:val="FooterChar"/>
    <w:uiPriority w:val="99"/>
    <w:rsid w:val="00790F00"/>
    <w:pPr>
      <w:tabs>
        <w:tab w:val="center" w:pos="4320"/>
        <w:tab w:val="right" w:pos="8640"/>
      </w:tabs>
    </w:pPr>
  </w:style>
  <w:style w:type="character" w:customStyle="1" w:styleId="FooterChar">
    <w:name w:val="Footer Char"/>
    <w:basedOn w:val="DefaultParagraphFont"/>
    <w:link w:val="Footer"/>
    <w:uiPriority w:val="99"/>
    <w:semiHidden/>
    <w:rsid w:val="00104BD5"/>
    <w:rPr>
      <w:sz w:val="24"/>
      <w:szCs w:val="24"/>
    </w:rPr>
  </w:style>
  <w:style w:type="paragraph" w:styleId="BalloonText">
    <w:name w:val="Balloon Text"/>
    <w:basedOn w:val="Normal"/>
    <w:link w:val="BalloonTextChar"/>
    <w:uiPriority w:val="99"/>
    <w:semiHidden/>
    <w:rsid w:val="00853CDF"/>
    <w:rPr>
      <w:rFonts w:ascii="Tahoma" w:hAnsi="Tahoma" w:cs="Tahoma"/>
      <w:sz w:val="16"/>
      <w:szCs w:val="16"/>
    </w:rPr>
  </w:style>
  <w:style w:type="character" w:customStyle="1" w:styleId="BalloonTextChar">
    <w:name w:val="Balloon Text Char"/>
    <w:basedOn w:val="DefaultParagraphFont"/>
    <w:link w:val="BalloonText"/>
    <w:uiPriority w:val="99"/>
    <w:semiHidden/>
    <w:rsid w:val="00853CDF"/>
    <w:rPr>
      <w:rFonts w:ascii="Tahoma" w:hAnsi="Tahoma" w:cs="Tahoma"/>
      <w:sz w:val="16"/>
      <w:szCs w:val="16"/>
    </w:rPr>
  </w:style>
  <w:style w:type="character" w:customStyle="1" w:styleId="apple-converted-space">
    <w:name w:val="apple-converted-space"/>
    <w:basedOn w:val="DefaultParagraphFont"/>
    <w:rsid w:val="00AA5558"/>
  </w:style>
  <w:style w:type="paragraph" w:styleId="NormalWeb">
    <w:name w:val="Normal (Web)"/>
    <w:basedOn w:val="Normal"/>
    <w:uiPriority w:val="99"/>
    <w:semiHidden/>
    <w:unhideWhenUsed/>
    <w:rsid w:val="00353990"/>
    <w:pPr>
      <w:widowControl/>
      <w:autoSpaceDE/>
      <w:autoSpaceDN/>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1457402">
      <w:bodyDiv w:val="1"/>
      <w:marLeft w:val="0"/>
      <w:marRight w:val="0"/>
      <w:marTop w:val="0"/>
      <w:marBottom w:val="0"/>
      <w:divBdr>
        <w:top w:val="none" w:sz="0" w:space="0" w:color="auto"/>
        <w:left w:val="none" w:sz="0" w:space="0" w:color="auto"/>
        <w:bottom w:val="none" w:sz="0" w:space="0" w:color="auto"/>
        <w:right w:val="none" w:sz="0" w:space="0" w:color="auto"/>
      </w:divBdr>
    </w:div>
    <w:div w:id="1901162405">
      <w:bodyDiv w:val="1"/>
      <w:marLeft w:val="54"/>
      <w:marRight w:val="54"/>
      <w:marTop w:val="54"/>
      <w:marBottom w:val="14"/>
      <w:divBdr>
        <w:top w:val="none" w:sz="0" w:space="0" w:color="auto"/>
        <w:left w:val="none" w:sz="0" w:space="0" w:color="auto"/>
        <w:bottom w:val="none" w:sz="0" w:space="0" w:color="auto"/>
        <w:right w:val="none" w:sz="0" w:space="0" w:color="auto"/>
      </w:divBdr>
      <w:divsChild>
        <w:div w:id="416175570">
          <w:marLeft w:val="0"/>
          <w:marRight w:val="0"/>
          <w:marTop w:val="0"/>
          <w:marBottom w:val="0"/>
          <w:divBdr>
            <w:top w:val="none" w:sz="0" w:space="0" w:color="auto"/>
            <w:left w:val="none" w:sz="0" w:space="0" w:color="auto"/>
            <w:bottom w:val="none" w:sz="0" w:space="0" w:color="auto"/>
            <w:right w:val="none" w:sz="0" w:space="0" w:color="auto"/>
          </w:divBdr>
        </w:div>
      </w:divsChild>
    </w:div>
    <w:div w:id="2136367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801-626-6413"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sd@weber.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13271C-3C61-416D-9C16-9A45BD58C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1057</Words>
  <Characters>6028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WEBER STATE UNIVERSITY</vt:lpstr>
    </vt:vector>
  </TitlesOfParts>
  <Company>Toshiba</Company>
  <LinksUpToDate>false</LinksUpToDate>
  <CharactersWithSpaces>7071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WEBER STATE UNIVERSITY</dc:title>
  <dc:creator>ldraper2</dc:creator>
  <cp:lastModifiedBy>Brenda Stockberger</cp:lastModifiedBy>
  <cp:revision>2</cp:revision>
  <cp:lastPrinted>2012-04-25T19:25:00Z</cp:lastPrinted>
  <dcterms:created xsi:type="dcterms:W3CDTF">2015-09-02T18:17:00Z</dcterms:created>
  <dcterms:modified xsi:type="dcterms:W3CDTF">2015-09-02T18:17:00Z</dcterms:modified>
</cp:coreProperties>
</file>